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Arial" w:hAnsi="Arial" w:cs="Arial" w:eastAsiaTheme="minorEastAsia"/>
          <w:lang w:val="en-US" w:eastAsia="zh-CN"/>
        </w:rPr>
      </w:pPr>
      <w:bookmarkStart w:id="0" w:name="OLE_LINK24"/>
      <w:bookmarkStart w:id="1" w:name="OLE_LINK34"/>
      <w:bookmarkStart w:id="2" w:name="OLE_LINK12"/>
      <w:bookmarkStart w:id="3" w:name="OLE_LINK33"/>
      <w:bookmarkStart w:id="4" w:name="OLE_LINK13"/>
      <w:r>
        <w:rPr>
          <w:rFonts w:ascii="Arial" w:hAnsi="Arial" w:cs="Arial"/>
          <w:b/>
        </w:rPr>
        <w:t>3GPP TSG RAN WG1 #109-e                                               R1-22</w:t>
      </w:r>
      <w:r>
        <w:rPr>
          <w:rFonts w:hint="eastAsia" w:ascii="Arial" w:hAnsi="Arial" w:cs="Arial"/>
          <w:b/>
          <w:lang w:val="en-US" w:eastAsia="zh-CN"/>
        </w:rPr>
        <w:t>03210</w:t>
      </w:r>
    </w:p>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e-Meeting,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Discussion</w:t>
      </w:r>
      <w:r>
        <w:rPr>
          <w:rFonts w:ascii="Arial" w:hAnsi="Arial" w:eastAsia="宋体" w:cs="Arial"/>
          <w:b/>
        </w:rPr>
        <w:t xml:space="preserve"> on NR </w:t>
      </w:r>
      <w:r>
        <w:rPr>
          <w:rFonts w:hint="eastAsia" w:ascii="Arial" w:hAnsi="Arial" w:eastAsia="宋体" w:cs="Arial"/>
          <w:b/>
        </w:rPr>
        <w:t xml:space="preserve">PDCCH </w:t>
      </w:r>
      <w:r>
        <w:rPr>
          <w:rFonts w:ascii="Arial" w:hAnsi="Arial" w:eastAsia="宋体" w:cs="Arial"/>
          <w:b/>
        </w:rPr>
        <w:t xml:space="preserve">reception for </w:t>
      </w:r>
      <w:r>
        <w:rPr>
          <w:rFonts w:hint="eastAsia" w:ascii="Arial" w:hAnsi="Arial" w:eastAsia="宋体" w:cs="Arial"/>
          <w:b/>
        </w:rPr>
        <w:t>DSS</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9.9.1 </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p>
      <w:pPr>
        <w:snapToGrid w:val="0"/>
        <w:spacing w:before="180" w:beforeLines="50" w:after="180" w:afterLines="50" w:line="240" w:lineRule="auto"/>
        <w:rPr>
          <w:rFonts w:ascii="Times New Roman" w:hAnsi="Times New Roman"/>
          <w:iCs/>
          <w:sz w:val="20"/>
          <w:szCs w:val="20"/>
        </w:rPr>
      </w:pPr>
      <w:r>
        <w:rPr>
          <w:rFonts w:ascii="Times New Roman" w:hAnsi="Times New Roman"/>
          <w:iCs/>
          <w:sz w:val="20"/>
          <w:szCs w:val="20"/>
        </w:rPr>
        <w:t>In RAN#94e meeting, a new WID about NR DSS was approved for Rel-18 [1]</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Pr>
          <w:p>
            <w:pPr>
              <w:snapToGrid w:val="0"/>
              <w:spacing w:before="0" w:beforeLines="0" w:after="0" w:afterLines="0" w:line="240" w:lineRule="auto"/>
              <w:rPr>
                <w:rFonts w:ascii="Times New Roman" w:hAnsi="Times New Roman"/>
                <w:iCs/>
                <w:sz w:val="20"/>
                <w:szCs w:val="20"/>
              </w:rPr>
            </w:pPr>
            <w:r>
              <w:rPr>
                <w:rFonts w:ascii="Times New Roman" w:hAnsi="Times New Roman"/>
                <w:iCs/>
                <w:sz w:val="20"/>
                <w:szCs w:val="20"/>
              </w:rPr>
              <w:t>The following objectives shall be included for improvement of NR spectrum efficiency for LTE-NR co-existence (RAN1):</w:t>
            </w:r>
          </w:p>
          <w:p>
            <w:pPr>
              <w:pStyle w:val="89"/>
              <w:widowControl w:val="0"/>
              <w:numPr>
                <w:ilvl w:val="0"/>
                <w:numId w:val="3"/>
              </w:numPr>
              <w:overflowPunct/>
              <w:snapToGrid w:val="0"/>
              <w:spacing w:before="0" w:beforeLines="0" w:after="0" w:afterLines="0" w:line="240" w:lineRule="auto"/>
              <w:ind w:left="724"/>
              <w:contextualSpacing w:val="0"/>
              <w:jc w:val="both"/>
              <w:textAlignment w:val="auto"/>
              <w:rPr>
                <w:sz w:val="20"/>
              </w:rPr>
            </w:pPr>
            <w:r>
              <w:rPr>
                <w:sz w:val="20"/>
              </w:rPr>
              <w:t>Study and if needed specify NR PDCCH reception in symbols with LTE CRS REs. [RAN1]</w:t>
            </w:r>
          </w:p>
          <w:p>
            <w:pPr>
              <w:widowControl w:val="0"/>
              <w:numPr>
                <w:ilvl w:val="1"/>
                <w:numId w:val="3"/>
              </w:numPr>
              <w:autoSpaceDE w:val="0"/>
              <w:autoSpaceDN w:val="0"/>
              <w:adjustRightInd w:val="0"/>
              <w:snapToGrid w:val="0"/>
              <w:spacing w:before="0" w:beforeLines="0" w:after="0" w:afterLines="0" w:line="240" w:lineRule="auto"/>
              <w:jc w:val="both"/>
              <w:rPr>
                <w:rFonts w:ascii="Times New Roman" w:hAnsi="Times New Roman"/>
                <w:sz w:val="20"/>
                <w:szCs w:val="20"/>
              </w:rPr>
            </w:pPr>
            <w:r>
              <w:rPr>
                <w:rFonts w:ascii="Times New Roman" w:hAnsi="Times New Roman"/>
                <w:sz w:val="20"/>
                <w:szCs w:val="20"/>
              </w:rPr>
              <w:t>Investigate enabling LTE CRS to puncture NR PDCCH, including the impact to NR PDCCH DMRS if there is the performance gain from the additional PDCCH resources.</w:t>
            </w:r>
          </w:p>
          <w:p>
            <w:pPr>
              <w:widowControl w:val="0"/>
              <w:numPr>
                <w:ilvl w:val="0"/>
                <w:numId w:val="3"/>
              </w:numPr>
              <w:autoSpaceDE w:val="0"/>
              <w:autoSpaceDN w:val="0"/>
              <w:adjustRightInd w:val="0"/>
              <w:snapToGrid w:val="0"/>
              <w:spacing w:before="0" w:beforeLines="0" w:after="0" w:afterLines="0" w:line="240" w:lineRule="auto"/>
              <w:jc w:val="both"/>
              <w:rPr>
                <w:rFonts w:ascii="Times New Roman" w:hAnsi="Times New Roman"/>
                <w:iCs/>
                <w:sz w:val="20"/>
                <w:szCs w:val="20"/>
              </w:rPr>
            </w:pPr>
            <w:r>
              <w:rPr>
                <w:rFonts w:ascii="Times New Roman" w:hAnsi="Times New Roman"/>
                <w:sz w:val="20"/>
                <w:szCs w:val="20"/>
              </w:rPr>
              <w:t>Allow a UE to support, and be configured with, two overlapping CRS rate matching patterns regardless of support or configuration of multi-TRP [RAN1, RAN2]</w:t>
            </w:r>
          </w:p>
        </w:tc>
      </w:tr>
    </w:tbl>
    <w:p>
      <w:pPr>
        <w:adjustRightInd w:val="0"/>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w:t>
      </w:r>
      <w:r>
        <w:rPr>
          <w:rFonts w:hint="eastAsia" w:ascii="Times New Roman" w:hAnsi="Times New Roman"/>
          <w:iCs/>
          <w:sz w:val="20"/>
          <w:szCs w:val="20"/>
        </w:rPr>
        <w:t xml:space="preserve"> this contribution, we provide some evaluations on PDCCH </w:t>
      </w:r>
      <w:r>
        <w:rPr>
          <w:rFonts w:ascii="Times New Roman" w:hAnsi="Times New Roman"/>
          <w:sz w:val="20"/>
          <w:szCs w:val="20"/>
          <w:lang w:eastAsia="ja-JP"/>
        </w:rPr>
        <w:t>reception in symbols with LTE CRS REs</w:t>
      </w:r>
      <w:r>
        <w:rPr>
          <w:rFonts w:hint="eastAsia" w:ascii="Times New Roman" w:hAnsi="Times New Roman"/>
          <w:iCs/>
          <w:sz w:val="20"/>
          <w:szCs w:val="20"/>
        </w:rPr>
        <w:t xml:space="preserve"> and </w:t>
      </w:r>
      <w:r>
        <w:rPr>
          <w:rFonts w:ascii="Times New Roman" w:hAnsi="Times New Roman"/>
          <w:iCs/>
          <w:sz w:val="20"/>
          <w:szCs w:val="20"/>
        </w:rPr>
        <w:t>provide</w:t>
      </w:r>
      <w:r>
        <w:rPr>
          <w:rFonts w:hint="eastAsia" w:ascii="Times New Roman" w:hAnsi="Times New Roman"/>
          <w:iCs/>
          <w:sz w:val="20"/>
          <w:szCs w:val="20"/>
        </w:rPr>
        <w:t xml:space="preserve"> our views on </w:t>
      </w:r>
      <w:r>
        <w:rPr>
          <w:rFonts w:ascii="Times New Roman" w:hAnsi="Times New Roman"/>
          <w:iCs/>
          <w:sz w:val="20"/>
          <w:szCs w:val="20"/>
        </w:rPr>
        <w:t>the potential specification impact</w:t>
      </w:r>
      <w:r>
        <w:rPr>
          <w:rFonts w:hint="eastAsia" w:ascii="Times New Roman" w:hAnsi="Times New Roman"/>
          <w:iCs/>
          <w:sz w:val="20"/>
          <w:szCs w:val="20"/>
        </w:rPr>
        <w:t>.</w:t>
      </w:r>
    </w:p>
    <w:bookmarkEnd w:id="5"/>
    <w:p>
      <w:pPr>
        <w:pStyle w:val="2"/>
        <w:snapToGrid w:val="0"/>
        <w:spacing w:before="120" w:after="180" w:afterLines="50"/>
        <w:ind w:left="431" w:hanging="431"/>
        <w:jc w:val="both"/>
        <w:rPr>
          <w:sz w:val="28"/>
          <w:lang w:val="en-US"/>
        </w:rPr>
      </w:pPr>
      <w:r>
        <w:rPr>
          <w:sz w:val="28"/>
          <w:lang w:val="en-US"/>
        </w:rPr>
        <w:t>Background</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As described in the existing </w:t>
      </w:r>
      <w:r>
        <w:rPr>
          <w:rFonts w:hint="eastAsia" w:ascii="Times New Roman" w:hAnsi="Times New Roman" w:eastAsia="宋体"/>
          <w:sz w:val="20"/>
          <w:szCs w:val="20"/>
        </w:rPr>
        <w:t xml:space="preserve">TS </w:t>
      </w:r>
      <w:r>
        <w:rPr>
          <w:rFonts w:ascii="Times New Roman" w:hAnsi="Times New Roman" w:eastAsia="宋体"/>
          <w:sz w:val="20"/>
          <w:szCs w:val="20"/>
        </w:rPr>
        <w:t xml:space="preserve">38.213 [2], when </w:t>
      </w:r>
      <w:r>
        <w:rPr>
          <w:rFonts w:ascii="Times New Roman" w:hAnsi="Times New Roman" w:eastAsia="宋体"/>
          <w:iCs/>
          <w:sz w:val="20"/>
          <w:szCs w:val="20"/>
        </w:rPr>
        <w:t>one RE of</w:t>
      </w:r>
      <w:r>
        <w:rPr>
          <w:rFonts w:hint="eastAsia" w:ascii="Times New Roman" w:hAnsi="Times New Roman" w:eastAsia="宋体"/>
          <w:iCs/>
          <w:sz w:val="20"/>
          <w:szCs w:val="20"/>
        </w:rPr>
        <w:t xml:space="preserve"> </w:t>
      </w:r>
      <w:r>
        <w:rPr>
          <w:rFonts w:ascii="Times New Roman" w:hAnsi="Times New Roman" w:eastAsia="宋体"/>
          <w:sz w:val="20"/>
          <w:szCs w:val="20"/>
        </w:rPr>
        <w:t xml:space="preserve">a NR PDCCH candidate overlaps with at least </w:t>
      </w:r>
      <w:r>
        <w:rPr>
          <w:rFonts w:hint="eastAsia" w:ascii="Times New Roman" w:hAnsi="Times New Roman" w:eastAsia="宋体"/>
          <w:sz w:val="20"/>
          <w:szCs w:val="20"/>
        </w:rPr>
        <w:t xml:space="preserve">one </w:t>
      </w:r>
      <w:r>
        <w:rPr>
          <w:rFonts w:ascii="Times New Roman" w:hAnsi="Times New Roman" w:eastAsia="宋体"/>
          <w:sz w:val="20"/>
          <w:szCs w:val="20"/>
        </w:rPr>
        <w:t>RE</w:t>
      </w:r>
      <w:r>
        <w:rPr>
          <w:rFonts w:hint="eastAsia" w:ascii="Times New Roman" w:hAnsi="Times New Roman" w:eastAsia="宋体"/>
          <w:sz w:val="20"/>
          <w:szCs w:val="20"/>
        </w:rPr>
        <w:t xml:space="preserve"> </w:t>
      </w:r>
      <w:r>
        <w:rPr>
          <w:rFonts w:ascii="Times New Roman" w:hAnsi="Times New Roman" w:eastAsia="宋体"/>
          <w:sz w:val="20"/>
          <w:szCs w:val="20"/>
        </w:rPr>
        <w:t xml:space="preserve">of LTE CRS, </w:t>
      </w:r>
      <w:r>
        <w:rPr>
          <w:rFonts w:hint="eastAsia" w:ascii="Times New Roman" w:hAnsi="Times New Roman" w:eastAsia="宋体"/>
          <w:sz w:val="20"/>
          <w:szCs w:val="20"/>
        </w:rPr>
        <w:t xml:space="preserve">a </w:t>
      </w:r>
      <w:r>
        <w:rPr>
          <w:rFonts w:ascii="Times New Roman" w:hAnsi="Times New Roman" w:eastAsia="宋体"/>
          <w:sz w:val="20"/>
          <w:szCs w:val="20"/>
        </w:rPr>
        <w:t>UE will not monitor the whole PDCCH candidate.</w:t>
      </w:r>
    </w:p>
    <w:tbl>
      <w:tblPr>
        <w:tblStyle w:val="10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1" w:hRule="atLeast"/>
        </w:trPr>
        <w:tc>
          <w:tcPr>
            <w:tcW w:w="9333" w:type="dxa"/>
          </w:tcPr>
          <w:p>
            <w:pPr>
              <w:widowControl w:val="0"/>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If</w:t>
            </w:r>
            <w:r>
              <w:rPr>
                <w:rFonts w:ascii="Times New Roman" w:hAnsi="Times New Roman" w:eastAsia="宋体"/>
                <w:iCs/>
                <w:sz w:val="20"/>
                <w:szCs w:val="20"/>
              </w:rPr>
              <w:t xml:space="preserve"> at least one RE of a PDCCH candidate for a UE on the serving cell overlaps with at least one RE of </w:t>
            </w:r>
            <w:r>
              <w:rPr>
                <w:rFonts w:ascii="Times New Roman" w:hAnsi="Times New Roman" w:eastAsia="宋体"/>
                <w:i/>
                <w:iCs/>
                <w:sz w:val="20"/>
                <w:szCs w:val="20"/>
                <w:lang w:eastAsia="en-US"/>
              </w:rPr>
              <w:t>lte-CRS-ToMatchAround</w:t>
            </w:r>
            <w:r>
              <w:rPr>
                <w:rFonts w:ascii="Times New Roman" w:hAnsi="Times New Roman" w:eastAsia="宋体"/>
                <w:sz w:val="20"/>
                <w:szCs w:val="20"/>
                <w:lang w:eastAsia="en-US"/>
              </w:rPr>
              <w:t>,</w:t>
            </w:r>
            <w:r>
              <w:rPr>
                <w:rFonts w:ascii="Times New Roman" w:hAnsi="Times New Roman" w:eastAsia="宋体"/>
                <w:iCs/>
                <w:sz w:val="20"/>
                <w:szCs w:val="20"/>
                <w:lang w:eastAsia="en-US"/>
              </w:rPr>
              <w:t xml:space="preserve"> or </w:t>
            </w:r>
            <w:r>
              <w:rPr>
                <w:rFonts w:ascii="Times New Roman" w:hAnsi="Times New Roman" w:eastAsia="宋体"/>
                <w:sz w:val="20"/>
                <w:szCs w:val="20"/>
                <w:lang w:eastAsia="en-US"/>
              </w:rPr>
              <w:t>of</w:t>
            </w:r>
            <w:r>
              <w:rPr>
                <w:rFonts w:ascii="Times New Roman" w:hAnsi="Times New Roman" w:eastAsia="宋体"/>
                <w:i/>
                <w:sz w:val="20"/>
                <w:szCs w:val="20"/>
                <w:lang w:eastAsia="en-US"/>
              </w:rPr>
              <w:t xml:space="preserve"> LTE-CRS-PatternList</w:t>
            </w:r>
            <w:r>
              <w:rPr>
                <w:rFonts w:ascii="Times New Roman" w:hAnsi="Times New Roman" w:eastAsia="宋体"/>
                <w:sz w:val="20"/>
                <w:szCs w:val="20"/>
                <w:lang w:eastAsia="en-US"/>
              </w:rPr>
              <w:t xml:space="preserve">, </w:t>
            </w:r>
            <w:r>
              <w:rPr>
                <w:rFonts w:ascii="Times New Roman" w:hAnsi="Times New Roman" w:eastAsia="宋体"/>
                <w:iCs/>
                <w:sz w:val="20"/>
                <w:szCs w:val="20"/>
              </w:rPr>
              <w:t>the UE is not required to monitor the PDCCH candidate</w:t>
            </w:r>
            <w:r>
              <w:rPr>
                <w:rFonts w:ascii="Times New Roman" w:hAnsi="Times New Roman" w:eastAsia="宋体"/>
                <w:sz w:val="20"/>
                <w:szCs w:val="20"/>
              </w:rPr>
              <w:t>.</w:t>
            </w:r>
          </w:p>
          <w:p>
            <w:pPr>
              <w:widowControl w:val="0"/>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w:t>
            </w:r>
          </w:p>
          <w:p>
            <w:pPr>
              <w:widowControl w:val="0"/>
              <w:autoSpaceDE w:val="0"/>
              <w:autoSpaceDN w:val="0"/>
              <w:adjustRightInd w:val="0"/>
              <w:snapToGrid w:val="0"/>
              <w:spacing w:before="180" w:beforeLines="50" w:after="180" w:afterLines="5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 xml:space="preserve">When </w:t>
            </w:r>
            <w:r>
              <w:rPr>
                <w:rFonts w:ascii="Times New Roman" w:hAnsi="Times New Roman" w:eastAsia="宋体"/>
                <w:i/>
                <w:sz w:val="20"/>
                <w:szCs w:val="20"/>
                <w:lang w:eastAsia="en-US"/>
              </w:rPr>
              <w:t>precoderGranularity</w:t>
            </w:r>
            <w:r>
              <w:rPr>
                <w:rFonts w:ascii="Times New Roman" w:hAnsi="Times New Roman" w:eastAsia="宋体"/>
                <w:sz w:val="20"/>
                <w:szCs w:val="20"/>
                <w:lang w:eastAsia="en-US"/>
              </w:rPr>
              <w:t xml:space="preserve"> = </w:t>
            </w:r>
            <w:r>
              <w:rPr>
                <w:rFonts w:ascii="Times New Roman" w:hAnsi="Times New Roman" w:eastAsia="宋体"/>
                <w:i/>
                <w:sz w:val="20"/>
                <w:szCs w:val="20"/>
                <w:lang w:eastAsia="en-US"/>
              </w:rPr>
              <w:t>allContiguousRBs</w:t>
            </w:r>
            <w:r>
              <w:rPr>
                <w:rFonts w:ascii="Times New Roman" w:hAnsi="Times New Roman" w:eastAsia="宋体"/>
                <w:sz w:val="20"/>
                <w:szCs w:val="20"/>
                <w:lang w:eastAsia="en-US"/>
              </w:rPr>
              <w:t xml:space="preserve">, a UE does not expect </w:t>
            </w:r>
          </w:p>
          <w:p>
            <w:pPr>
              <w:widowControl w:val="0"/>
              <w:autoSpaceDE w:val="0"/>
              <w:autoSpaceDN w:val="0"/>
              <w:adjustRightInd w:val="0"/>
              <w:snapToGrid w:val="0"/>
              <w:spacing w:before="180" w:beforeLines="50" w:after="180" w:afterLines="50" w:line="240" w:lineRule="auto"/>
              <w:ind w:left="568" w:hanging="284"/>
              <w:jc w:val="both"/>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to be configured a set of resource blocks of a CORESET that includes more than four sub-sets of resource blocks that are not contiguous in frequency</w:t>
            </w:r>
          </w:p>
          <w:p>
            <w:pPr>
              <w:widowControl w:val="0"/>
              <w:autoSpaceDE w:val="0"/>
              <w:autoSpaceDN w:val="0"/>
              <w:adjustRightInd w:val="0"/>
              <w:snapToGrid w:val="0"/>
              <w:spacing w:before="180" w:beforeLines="50" w:after="180" w:afterLines="50" w:line="240" w:lineRule="auto"/>
              <w:ind w:left="568" w:hanging="284"/>
              <w:jc w:val="both"/>
              <w:rPr>
                <w:rFonts w:ascii="Times New Roman" w:hAnsi="Times New Roman" w:eastAsia="宋体"/>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any RE of a CORESET to overlap with any RE determined from</w:t>
            </w:r>
            <w:r>
              <w:rPr>
                <w:rFonts w:ascii="Times New Roman" w:hAnsi="Times New Roman" w:eastAsia="宋体"/>
                <w:iCs/>
                <w:sz w:val="20"/>
                <w:szCs w:val="20"/>
              </w:rPr>
              <w:t xml:space="preserve"> </w:t>
            </w:r>
            <w:r>
              <w:rPr>
                <w:rFonts w:ascii="Times New Roman" w:hAnsi="Times New Roman" w:eastAsia="宋体"/>
                <w:i/>
                <w:iCs/>
                <w:sz w:val="20"/>
                <w:szCs w:val="20"/>
                <w:lang w:eastAsia="en-US"/>
              </w:rPr>
              <w:t>lte-CRS-ToMatchAround</w:t>
            </w:r>
            <w:r>
              <w:rPr>
                <w:rFonts w:ascii="Times New Roman" w:hAnsi="Times New Roman" w:eastAsia="宋体"/>
                <w:sz w:val="20"/>
                <w:szCs w:val="20"/>
                <w:lang w:eastAsia="en-US"/>
              </w:rPr>
              <w:t>,</w:t>
            </w:r>
            <w:r>
              <w:rPr>
                <w:rFonts w:ascii="Times New Roman" w:hAnsi="Times New Roman" w:eastAsia="宋体"/>
                <w:iCs/>
                <w:sz w:val="20"/>
                <w:szCs w:val="20"/>
                <w:lang w:eastAsia="en-US"/>
              </w:rPr>
              <w:t xml:space="preserve"> or </w:t>
            </w:r>
            <w:r>
              <w:rPr>
                <w:rFonts w:ascii="Times New Roman" w:hAnsi="Times New Roman" w:eastAsia="宋体"/>
                <w:sz w:val="20"/>
                <w:szCs w:val="20"/>
                <w:lang w:eastAsia="en-US"/>
              </w:rPr>
              <w:t>from</w:t>
            </w:r>
            <w:r>
              <w:rPr>
                <w:rFonts w:ascii="Times New Roman" w:hAnsi="Times New Roman" w:eastAsia="宋体"/>
                <w:i/>
                <w:sz w:val="20"/>
                <w:szCs w:val="20"/>
                <w:lang w:eastAsia="en-US"/>
              </w:rPr>
              <w:t xml:space="preserve"> LTE-CRS-PatternList</w:t>
            </w:r>
            <w:r>
              <w:rPr>
                <w:rFonts w:ascii="Times New Roman" w:hAnsi="Times New Roman" w:eastAsia="宋体"/>
                <w:sz w:val="20"/>
                <w:szCs w:val="20"/>
                <w:lang w:eastAsia="en-US"/>
              </w:rPr>
              <w:t>, or with any RE of a SS/PBCH block.</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According to the discussion in RAN meetings, assuming LTE and NR are synchronized in the symbol boundary</w:t>
      </w:r>
      <w:r>
        <w:rPr>
          <w:rFonts w:hint="eastAsia" w:ascii="Times New Roman" w:hAnsi="Times New Roman" w:eastAsia="宋体"/>
          <w:sz w:val="20"/>
          <w:szCs w:val="20"/>
        </w:rPr>
        <w:t xml:space="preserve"> and </w:t>
      </w:r>
      <w:r>
        <w:rPr>
          <w:rFonts w:ascii="Times New Roman" w:hAnsi="Times New Roman" w:eastAsia="宋体"/>
          <w:sz w:val="20"/>
          <w:szCs w:val="20"/>
        </w:rPr>
        <w:t xml:space="preserve">the number of LTE CRS ports is 4, LTE CRS is present at </w:t>
      </w:r>
      <w:r>
        <w:rPr>
          <w:rFonts w:hint="eastAsia" w:ascii="Times New Roman" w:hAnsi="Times New Roman" w:eastAsia="宋体"/>
          <w:sz w:val="20"/>
          <w:szCs w:val="20"/>
        </w:rPr>
        <w:t xml:space="preserve">symbol 0, 1 and 4 </w:t>
      </w:r>
      <w:r>
        <w:rPr>
          <w:rFonts w:ascii="Times New Roman" w:hAnsi="Times New Roman" w:eastAsia="宋体"/>
          <w:sz w:val="20"/>
          <w:szCs w:val="20"/>
        </w:rPr>
        <w:t>as shown in Figure 1. In case LTE traffic is low, it is expected that only the first symbol, i.e. symbol 0 is occupied by LTE PDCCH, PHICH and PCFICH</w:t>
      </w:r>
      <w:r>
        <w:rPr>
          <w:rFonts w:hint="eastAsia" w:ascii="Times New Roman" w:hAnsi="Times New Roman" w:eastAsia="宋体"/>
          <w:sz w:val="20"/>
          <w:szCs w:val="20"/>
        </w:rPr>
        <w:t>. Then,</w:t>
      </w:r>
      <w:r>
        <w:rPr>
          <w:rFonts w:ascii="Times New Roman" w:hAnsi="Times New Roman" w:eastAsia="宋体"/>
          <w:sz w:val="20"/>
          <w:szCs w:val="20"/>
        </w:rPr>
        <w:t xml:space="preserve"> the resource in OFDM symbol 1 can be used for NR PDCCH</w:t>
      </w:r>
      <w:r>
        <w:rPr>
          <w:rFonts w:hint="eastAsia" w:ascii="Times New Roman" w:hAnsi="Times New Roman" w:eastAsia="宋体"/>
          <w:sz w:val="20"/>
          <w:szCs w:val="20"/>
        </w:rPr>
        <w:t xml:space="preserve">. Compared to </w:t>
      </w:r>
      <w:r>
        <w:rPr>
          <w:rFonts w:ascii="Times New Roman" w:hAnsi="Times New Roman" w:eastAsia="宋体"/>
          <w:sz w:val="20"/>
          <w:szCs w:val="20"/>
        </w:rPr>
        <w:t xml:space="preserve">the case that only OFDM symbol 2 is </w:t>
      </w:r>
      <w:r>
        <w:rPr>
          <w:rFonts w:hint="eastAsia" w:ascii="Times New Roman" w:hAnsi="Times New Roman" w:eastAsia="宋体"/>
          <w:sz w:val="20"/>
          <w:szCs w:val="20"/>
          <w:lang w:val="en-US" w:eastAsia="zh-CN"/>
        </w:rPr>
        <w:t xml:space="preserve">used </w:t>
      </w:r>
      <w:r>
        <w:rPr>
          <w:rFonts w:ascii="Times New Roman" w:hAnsi="Times New Roman" w:eastAsia="宋体"/>
          <w:sz w:val="20"/>
          <w:szCs w:val="20"/>
        </w:rPr>
        <w:t>for NR PDCCH</w:t>
      </w:r>
      <w:r>
        <w:rPr>
          <w:rFonts w:hint="eastAsia" w:ascii="Times New Roman" w:hAnsi="Times New Roman" w:eastAsia="宋体"/>
          <w:sz w:val="20"/>
          <w:szCs w:val="20"/>
          <w:lang w:val="en-US" w:eastAsia="zh-CN"/>
        </w:rPr>
        <w:t xml:space="preserve"> within the same frequency resource</w:t>
      </w:r>
      <w:r>
        <w:rPr>
          <w:rFonts w:hint="eastAsia" w:ascii="Times New Roman" w:hAnsi="Times New Roman" w:eastAsia="宋体"/>
          <w:sz w:val="20"/>
          <w:szCs w:val="20"/>
        </w:rPr>
        <w:t>,</w:t>
      </w:r>
      <w:r>
        <w:rPr>
          <w:rFonts w:ascii="Times New Roman" w:hAnsi="Times New Roman" w:eastAsia="宋体"/>
          <w:sz w:val="20"/>
          <w:szCs w:val="20"/>
        </w:rPr>
        <w:t xml:space="preserve"> additional </w:t>
      </w:r>
      <w:r>
        <w:rPr>
          <w:rFonts w:hint="eastAsia" w:ascii="Times New Roman" w:hAnsi="Times New Roman" w:eastAsia="宋体"/>
          <w:sz w:val="20"/>
          <w:szCs w:val="20"/>
          <w:lang w:val="en-US" w:eastAsia="zh-CN"/>
        </w:rPr>
        <w:t>8</w:t>
      </w:r>
      <w:r>
        <w:rPr>
          <w:rFonts w:ascii="Times New Roman" w:hAnsi="Times New Roman" w:eastAsia="宋体"/>
          <w:sz w:val="20"/>
          <w:szCs w:val="20"/>
        </w:rPr>
        <w:t xml:space="preserve"> REs</w:t>
      </w:r>
      <w:r>
        <w:rPr>
          <w:rFonts w:hint="eastAsia" w:ascii="Times New Roman" w:hAnsi="Times New Roman" w:eastAsia="宋体"/>
          <w:sz w:val="20"/>
          <w:szCs w:val="20"/>
        </w:rPr>
        <w:t xml:space="preserve"> per </w:t>
      </w:r>
      <w:r>
        <w:rPr>
          <w:rFonts w:ascii="Times New Roman" w:hAnsi="Times New Roman" w:eastAsia="宋体"/>
          <w:sz w:val="20"/>
          <w:szCs w:val="20"/>
        </w:rPr>
        <w:t>PRB other than CRS REs</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rPr>
        <w:t>will be used for NR PDCCH</w:t>
      </w:r>
      <w:r>
        <w:rPr>
          <w:rFonts w:hint="eastAsia" w:ascii="Times New Roman" w:hAnsi="Times New Roman" w:eastAsia="宋体"/>
          <w:sz w:val="20"/>
          <w:szCs w:val="20"/>
          <w:lang w:val="en-US" w:eastAsia="zh-CN"/>
        </w:rPr>
        <w:t>, including two additional DMRS REs</w:t>
      </w:r>
      <w:r>
        <w:rPr>
          <w:rFonts w:ascii="Times New Roman" w:hAnsi="Times New Roman" w:eastAsia="宋体"/>
          <w:sz w:val="20"/>
          <w:szCs w:val="20"/>
        </w:rPr>
        <w:t xml:space="preserve">. This may be beneficial from resource utilization perspective. However, NR PDCCH channel estimation may be impacted in OFDM symbol 1 as one PDCCH DMRS RE collides with LTE CRS as shown in </w:t>
      </w:r>
      <w:r>
        <w:rPr>
          <w:rFonts w:hint="eastAsia" w:ascii="Times New Roman" w:hAnsi="Times New Roman" w:eastAsia="宋体"/>
          <w:sz w:val="20"/>
          <w:szCs w:val="20"/>
        </w:rPr>
        <w:t>F</w:t>
      </w:r>
      <w:r>
        <w:rPr>
          <w:rFonts w:ascii="Times New Roman" w:hAnsi="Times New Roman" w:eastAsia="宋体"/>
          <w:sz w:val="20"/>
          <w:szCs w:val="20"/>
        </w:rPr>
        <w:t>igure</w:t>
      </w:r>
      <w:r>
        <w:rPr>
          <w:rFonts w:hint="eastAsia" w:ascii="Times New Roman" w:hAnsi="Times New Roman" w:eastAsia="宋体"/>
          <w:sz w:val="20"/>
          <w:szCs w:val="20"/>
        </w:rPr>
        <w:t xml:space="preserve"> 1</w:t>
      </w:r>
      <w:r>
        <w:rPr>
          <w:rFonts w:ascii="Times New Roman" w:hAnsi="Times New Roman" w:eastAsia="宋体"/>
          <w:sz w:val="20"/>
          <w:szCs w:val="20"/>
        </w:rPr>
        <w:t>.</w:t>
      </w:r>
    </w:p>
    <w:p>
      <w:pPr>
        <w:autoSpaceDE w:val="0"/>
        <w:autoSpaceDN w:val="0"/>
        <w:adjustRightInd w:val="0"/>
        <w:snapToGrid w:val="0"/>
        <w:spacing w:before="180" w:beforeLines="50" w:after="180" w:afterLines="50" w:line="240" w:lineRule="auto"/>
        <w:jc w:val="center"/>
        <w:rPr>
          <w:lang w:eastAsia="en-US"/>
        </w:rPr>
      </w:pPr>
      <w:r>
        <w:drawing>
          <wp:inline distT="0" distB="0" distL="114300" distR="114300">
            <wp:extent cx="3429000" cy="408432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3429000" cy="4084320"/>
                    </a:xfrm>
                    <a:prstGeom prst="rect">
                      <a:avLst/>
                    </a:prstGeom>
                    <a:noFill/>
                    <a:ln>
                      <a:noFill/>
                    </a:ln>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Figure 1. </w:t>
      </w:r>
      <w:r>
        <w:rPr>
          <w:rFonts w:ascii="Times New Roman" w:hAnsi="Times New Roman" w:eastAsia="宋体"/>
          <w:sz w:val="20"/>
          <w:szCs w:val="20"/>
        </w:rPr>
        <w:t xml:space="preserve">RE </w:t>
      </w:r>
      <w:r>
        <w:rPr>
          <w:rFonts w:hint="eastAsia" w:ascii="Times New Roman" w:hAnsi="Times New Roman" w:eastAsia="宋体"/>
          <w:sz w:val="20"/>
          <w:szCs w:val="20"/>
        </w:rPr>
        <w:t xml:space="preserve">mapping of DMRS for NR PDCCH and LTE CRS </w:t>
      </w:r>
    </w:p>
    <w:p>
      <w:pPr>
        <w:pStyle w:val="2"/>
        <w:snapToGrid w:val="0"/>
        <w:spacing w:before="120" w:after="180" w:afterLines="50"/>
        <w:ind w:left="431" w:hanging="431"/>
        <w:jc w:val="both"/>
        <w:rPr>
          <w:sz w:val="28"/>
          <w:lang w:val="en-US"/>
        </w:rPr>
      </w:pPr>
      <w:r>
        <w:rPr>
          <w:rFonts w:hint="eastAsia"/>
          <w:sz w:val="28"/>
          <w:lang w:val="en-US"/>
        </w:rPr>
        <w:t>Discussion</w:t>
      </w:r>
    </w:p>
    <w:p>
      <w:pPr>
        <w:pStyle w:val="3"/>
        <w:snapToGrid w:val="0"/>
        <w:spacing w:line="240" w:lineRule="auto"/>
        <w:rPr>
          <w:sz w:val="24"/>
          <w:szCs w:val="24"/>
        </w:rPr>
      </w:pPr>
      <w:r>
        <w:rPr>
          <w:rFonts w:hint="eastAsia"/>
          <w:sz w:val="24"/>
          <w:szCs w:val="24"/>
        </w:rPr>
        <w:t>3.1 Evaluation Results</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order to verify whether there is gain or not</w:t>
      </w:r>
      <w:r>
        <w:rPr>
          <w:rFonts w:hint="eastAsia" w:ascii="Times New Roman" w:hAnsi="Times New Roman" w:eastAsia="宋体"/>
          <w:sz w:val="20"/>
          <w:szCs w:val="20"/>
        </w:rPr>
        <w:t xml:space="preserve"> for allowing </w:t>
      </w:r>
      <w:r>
        <w:rPr>
          <w:rFonts w:ascii="Times New Roman" w:hAnsi="Times New Roman" w:eastAsia="宋体"/>
          <w:sz w:val="20"/>
          <w:szCs w:val="20"/>
        </w:rPr>
        <w:t xml:space="preserve">NR PDCCH reception in symbols with LTE CRS REs, we provide our evaluation results in this section.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the simulation, </w:t>
      </w:r>
      <w:r>
        <w:rPr>
          <w:rFonts w:hint="eastAsia" w:ascii="Times New Roman" w:hAnsi="Times New Roman" w:eastAsia="宋体"/>
          <w:sz w:val="20"/>
          <w:szCs w:val="20"/>
        </w:rPr>
        <w:t>the number of LTE CRS</w:t>
      </w:r>
      <w:r>
        <w:rPr>
          <w:rFonts w:ascii="Times New Roman" w:hAnsi="Times New Roman" w:eastAsia="宋体"/>
          <w:sz w:val="20"/>
          <w:szCs w:val="20"/>
        </w:rPr>
        <w:t xml:space="preserve"> ports</w:t>
      </w:r>
      <w:r>
        <w:rPr>
          <w:rFonts w:hint="eastAsia" w:ascii="Times New Roman" w:hAnsi="Times New Roman" w:eastAsia="宋体"/>
          <w:sz w:val="20"/>
          <w:szCs w:val="20"/>
        </w:rPr>
        <w:t xml:space="preserve"> is 4. The time duration of NR PDCCH is 2, i.e.</w:t>
      </w:r>
      <w:r>
        <w:rPr>
          <w:rFonts w:ascii="Times New Roman" w:hAnsi="Times New Roman" w:eastAsia="宋体"/>
          <w:sz w:val="20"/>
          <w:szCs w:val="20"/>
        </w:rPr>
        <w:t xml:space="preserve"> </w:t>
      </w:r>
      <w:r>
        <w:rPr>
          <w:rFonts w:hint="eastAsia" w:ascii="Times New Roman" w:hAnsi="Times New Roman" w:eastAsia="宋体"/>
          <w:sz w:val="20"/>
          <w:szCs w:val="20"/>
        </w:rPr>
        <w:t xml:space="preserve">OFDM symbol 1 and 2. </w:t>
      </w:r>
      <w:r>
        <w:rPr>
          <w:rFonts w:ascii="Times New Roman" w:hAnsi="Times New Roman" w:eastAsia="宋体"/>
          <w:sz w:val="20"/>
          <w:szCs w:val="20"/>
        </w:rPr>
        <w:t>Other</w:t>
      </w:r>
      <w:r>
        <w:rPr>
          <w:rFonts w:hint="eastAsia" w:ascii="Times New Roman" w:hAnsi="Times New Roman" w:eastAsia="宋体"/>
          <w:sz w:val="20"/>
          <w:szCs w:val="20"/>
        </w:rPr>
        <w:t xml:space="preserve"> simulation parameters are listed in </w:t>
      </w:r>
      <w:r>
        <w:rPr>
          <w:rFonts w:ascii="Times New Roman" w:hAnsi="Times New Roman" w:eastAsia="宋体"/>
          <w:sz w:val="20"/>
          <w:szCs w:val="20"/>
        </w:rPr>
        <w:t>A</w:t>
      </w:r>
      <w:r>
        <w:rPr>
          <w:rFonts w:hint="eastAsia" w:ascii="Times New Roman" w:hAnsi="Times New Roman" w:eastAsia="宋体"/>
          <w:sz w:val="20"/>
          <w:szCs w:val="20"/>
        </w:rPr>
        <w:t>ppendix.</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As shown in Figure 2, the red curves correspond to the current NR specification where NR PDCCH is only transmitted in one OFDM symbol, i.e. in symbol 2. Blue curves correspond to the case that NR PDCCH is transmitted in two OFDM symbols, i.e. in symbol 1 and 2 where the same number of PRBs is used for 1</w:t>
      </w:r>
      <w:r>
        <w:rPr>
          <w:rFonts w:hint="eastAsia" w:ascii="Times New Roman" w:hAnsi="Times New Roman" w:eastAsia="宋体"/>
          <w:sz w:val="20"/>
          <w:szCs w:val="20"/>
          <w:lang w:val="en-US" w:eastAsia="zh-CN"/>
        </w:rPr>
        <w:t>-</w:t>
      </w:r>
      <w:r>
        <w:rPr>
          <w:rFonts w:ascii="Times New Roman" w:hAnsi="Times New Roman" w:eastAsia="宋体"/>
          <w:sz w:val="20"/>
          <w:szCs w:val="20"/>
        </w:rPr>
        <w:t>symbol PDCCH with aggregation level</w:t>
      </w:r>
      <w:r>
        <w:rPr>
          <w:rFonts w:hint="eastAsia" w:ascii="Times New Roman" w:hAnsi="Times New Roman" w:eastAsia="宋体"/>
          <w:sz w:val="20"/>
          <w:szCs w:val="20"/>
          <w:lang w:val="en-US" w:eastAsia="zh-CN"/>
        </w:rPr>
        <w:t>(AL)</w:t>
      </w:r>
      <w:r>
        <w:rPr>
          <w:rFonts w:ascii="Times New Roman" w:hAnsi="Times New Roman" w:eastAsia="宋体"/>
          <w:sz w:val="20"/>
          <w:szCs w:val="20"/>
        </w:rPr>
        <w:t xml:space="preserve"> 1, 2, 4, 8 and for 2</w:t>
      </w:r>
      <w:r>
        <w:rPr>
          <w:rFonts w:hint="eastAsia" w:ascii="Times New Roman" w:hAnsi="Times New Roman" w:eastAsia="宋体"/>
          <w:sz w:val="20"/>
          <w:szCs w:val="20"/>
          <w:lang w:val="en-US" w:eastAsia="zh-CN"/>
        </w:rPr>
        <w:t>-</w:t>
      </w:r>
      <w:r>
        <w:rPr>
          <w:rFonts w:ascii="Times New Roman" w:hAnsi="Times New Roman" w:eastAsia="宋体"/>
          <w:sz w:val="20"/>
          <w:szCs w:val="20"/>
        </w:rPr>
        <w:t xml:space="preserve">symbol PDCCH with </w:t>
      </w:r>
      <w:r>
        <w:rPr>
          <w:rFonts w:hint="eastAsia" w:ascii="Times New Roman" w:hAnsi="Times New Roman" w:eastAsia="宋体"/>
          <w:sz w:val="20"/>
          <w:szCs w:val="20"/>
          <w:lang w:val="en-US" w:eastAsia="zh-CN"/>
        </w:rPr>
        <w:t>AL</w:t>
      </w:r>
      <w:r>
        <w:rPr>
          <w:rFonts w:ascii="Times New Roman" w:hAnsi="Times New Roman" w:eastAsia="宋体"/>
          <w:sz w:val="20"/>
          <w:szCs w:val="20"/>
        </w:rPr>
        <w:t xml:space="preserve"> 2, 4, 8, 16 respectively. That is, the same number of PRBs is used each pair of (1-symbol with AL1, 2-symbol with AL2), (1-symbol with AL2, 2-symbol with AL4), (1-symbol with AL4, 2-symbol with AL8), (1-symbol with AL8, 2-symbol with AL16).</w:t>
      </w:r>
      <w:r>
        <w:rPr>
          <w:rFonts w:hint="eastAsia" w:ascii="Times New Roman" w:hAnsi="Times New Roman" w:eastAsia="宋体"/>
          <w:sz w:val="20"/>
          <w:szCs w:val="20"/>
        </w:rPr>
        <w:t xml:space="preserve"> </w:t>
      </w:r>
      <w:r>
        <w:rPr>
          <w:rFonts w:ascii="Times New Roman" w:hAnsi="Times New Roman" w:eastAsia="宋体"/>
          <w:sz w:val="20"/>
          <w:szCs w:val="20"/>
        </w:rPr>
        <w:t xml:space="preserve">In the simulation, NR PDCCH REs including PDCCH DMRS are punctured if they collide with LTE CRS, and linear interpolation is used </w:t>
      </w:r>
      <w:r>
        <w:rPr>
          <w:rFonts w:hint="eastAsia" w:ascii="Times New Roman" w:hAnsi="Times New Roman" w:eastAsia="宋体"/>
          <w:sz w:val="20"/>
          <w:szCs w:val="20"/>
        </w:rPr>
        <w:t>for channel estimation</w:t>
      </w:r>
      <w:r>
        <w:rPr>
          <w:rFonts w:ascii="Times New Roman" w:hAnsi="Times New Roman" w:eastAsia="宋体"/>
          <w:sz w:val="20"/>
          <w:szCs w:val="20"/>
        </w:rPr>
        <w:t xml:space="preserve"> in such case.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lang w:eastAsia="en-US"/>
        </w:rPr>
      </w:pPr>
      <w:r>
        <w:rPr>
          <w:rFonts w:ascii="Times New Roman" w:hAnsi="Times New Roman" w:eastAsia="宋体"/>
          <w:sz w:val="20"/>
          <w:szCs w:val="20"/>
        </w:rPr>
        <w:drawing>
          <wp:inline distT="0" distB="0" distL="114300" distR="114300">
            <wp:extent cx="5270500" cy="4296410"/>
            <wp:effectExtent l="0" t="0" r="2540" b="127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6"/>
                    <a:stretch>
                      <a:fillRect/>
                    </a:stretch>
                  </pic:blipFill>
                  <pic:spPr>
                    <a:xfrm>
                      <a:off x="0" y="0"/>
                      <a:ext cx="5270500" cy="4296410"/>
                    </a:xfrm>
                    <a:prstGeom prst="rect">
                      <a:avLst/>
                    </a:prstGeom>
                    <a:noFill/>
                    <a:ln>
                      <a:noFill/>
                    </a:ln>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 NR PDCCH performance with LTE CRS puncture in OFDM symbol 1</w:t>
      </w:r>
    </w:p>
    <w:p>
      <w:pPr>
        <w:autoSpaceDE w:val="0"/>
        <w:autoSpaceDN w:val="0"/>
        <w:adjustRightInd w:val="0"/>
        <w:snapToGrid w:val="0"/>
        <w:spacing w:after="120" w:line="240" w:lineRule="auto"/>
        <w:jc w:val="both"/>
        <w:rPr>
          <w:rFonts w:hint="eastAsia" w:ascii="Times New Roman" w:hAnsi="Times New Roman" w:eastAsia="宋体"/>
          <w:sz w:val="20"/>
          <w:szCs w:val="20"/>
        </w:rPr>
      </w:pPr>
      <w:r>
        <w:rPr>
          <w:rFonts w:ascii="Times New Roman" w:hAnsi="Times New Roman" w:eastAsia="宋体"/>
          <w:sz w:val="20"/>
          <w:szCs w:val="20"/>
        </w:rPr>
        <w:t>Even though some of PDCCH REs are punctured in 2-symbol NR PDCCH case and channel estimation may be impacted, i</w:t>
      </w:r>
      <w:r>
        <w:rPr>
          <w:rFonts w:hint="eastAsia" w:ascii="Times New Roman" w:hAnsi="Times New Roman" w:eastAsia="宋体"/>
          <w:sz w:val="20"/>
          <w:szCs w:val="20"/>
        </w:rPr>
        <w:t xml:space="preserve">n Figure 2, </w:t>
      </w:r>
      <w:r>
        <w:rPr>
          <w:rFonts w:ascii="Times New Roman" w:hAnsi="Times New Roman" w:eastAsia="宋体"/>
          <w:sz w:val="20"/>
          <w:szCs w:val="20"/>
        </w:rPr>
        <w:t xml:space="preserve">because of more utilized REs and larger aggregation levels, </w:t>
      </w:r>
      <w:r>
        <w:rPr>
          <w:rFonts w:hint="eastAsia" w:ascii="Times New Roman" w:hAnsi="Times New Roman" w:eastAsia="宋体"/>
          <w:sz w:val="20"/>
          <w:szCs w:val="20"/>
        </w:rPr>
        <w:t xml:space="preserve">the </w:t>
      </w:r>
      <w:r>
        <w:rPr>
          <w:rFonts w:ascii="Times New Roman" w:hAnsi="Times New Roman" w:eastAsia="宋体"/>
          <w:sz w:val="20"/>
          <w:szCs w:val="20"/>
        </w:rPr>
        <w:t xml:space="preserve">obvious </w:t>
      </w:r>
      <w:r>
        <w:rPr>
          <w:rFonts w:hint="eastAsia" w:ascii="Times New Roman" w:hAnsi="Times New Roman" w:eastAsia="宋体"/>
          <w:sz w:val="20"/>
          <w:szCs w:val="20"/>
        </w:rPr>
        <w:t xml:space="preserve">gains </w:t>
      </w:r>
      <w:r>
        <w:rPr>
          <w:rFonts w:ascii="Times New Roman" w:hAnsi="Times New Roman" w:eastAsia="宋体"/>
          <w:sz w:val="20"/>
          <w:szCs w:val="20"/>
        </w:rPr>
        <w:t xml:space="preserve">from </w:t>
      </w:r>
      <w:r>
        <w:rPr>
          <w:rFonts w:hint="eastAsia" w:ascii="Times New Roman" w:hAnsi="Times New Roman" w:eastAsia="宋体"/>
          <w:sz w:val="20"/>
          <w:szCs w:val="20"/>
          <w:lang w:val="en-US" w:eastAsia="zh-CN"/>
        </w:rPr>
        <w:t>2</w:t>
      </w:r>
      <w:r>
        <w:rPr>
          <w:rFonts w:ascii="Times New Roman" w:hAnsi="Times New Roman" w:eastAsia="宋体"/>
          <w:sz w:val="20"/>
          <w:szCs w:val="20"/>
        </w:rPr>
        <w:t>-symbol NR PDCCH can still be observed</w:t>
      </w:r>
      <w:r>
        <w:rPr>
          <w:rFonts w:hint="eastAsia" w:ascii="Times New Roman" w:hAnsi="Times New Roman" w:eastAsia="宋体"/>
          <w:sz w:val="20"/>
          <w:szCs w:val="20"/>
        </w:rPr>
        <w:t xml:space="preserve"> </w:t>
      </w:r>
      <w:r>
        <w:rPr>
          <w:rFonts w:ascii="Times New Roman" w:hAnsi="Times New Roman" w:eastAsia="宋体"/>
          <w:sz w:val="20"/>
          <w:szCs w:val="20"/>
        </w:rPr>
        <w:t>for</w:t>
      </w:r>
      <w:r>
        <w:rPr>
          <w:rFonts w:hint="eastAsia" w:ascii="Times New Roman" w:hAnsi="Times New Roman" w:eastAsia="宋体"/>
          <w:sz w:val="20"/>
          <w:szCs w:val="20"/>
        </w:rPr>
        <w:t xml:space="preserve"> DCI payload 40,</w:t>
      </w:r>
      <w:r>
        <w:rPr>
          <w:rFonts w:ascii="Times New Roman" w:hAnsi="Times New Roman" w:eastAsia="宋体"/>
          <w:sz w:val="20"/>
          <w:szCs w:val="20"/>
        </w:rPr>
        <w:t xml:space="preserve"> </w:t>
      </w:r>
      <w:r>
        <w:rPr>
          <w:rFonts w:hint="eastAsia" w:ascii="Times New Roman" w:hAnsi="Times New Roman" w:eastAsia="宋体"/>
          <w:sz w:val="20"/>
          <w:szCs w:val="20"/>
        </w:rPr>
        <w:t>55 and 80 bits</w:t>
      </w:r>
      <w:r>
        <w:rPr>
          <w:rFonts w:ascii="Times New Roman" w:hAnsi="Times New Roman" w:eastAsia="宋体"/>
          <w:sz w:val="20"/>
          <w:szCs w:val="20"/>
        </w:rPr>
        <w:t xml:space="preserve">. </w:t>
      </w:r>
      <w:r>
        <w:rPr>
          <w:rFonts w:hint="eastAsia" w:ascii="Times New Roman" w:hAnsi="Times New Roman" w:eastAsia="宋体"/>
          <w:sz w:val="20"/>
          <w:szCs w:val="20"/>
          <w:lang w:val="en-US" w:eastAsia="zh-CN"/>
        </w:rPr>
        <w:t>In addition</w:t>
      </w:r>
      <w:r>
        <w:rPr>
          <w:rFonts w:ascii="Times New Roman" w:hAnsi="Times New Roman" w:eastAsia="宋体"/>
          <w:sz w:val="20"/>
          <w:szCs w:val="20"/>
        </w:rPr>
        <w:t>,</w:t>
      </w:r>
      <w:r>
        <w:rPr>
          <w:rFonts w:hint="eastAsia" w:ascii="Times New Roman" w:hAnsi="Times New Roman" w:eastAsia="宋体"/>
          <w:sz w:val="20"/>
          <w:szCs w:val="20"/>
        </w:rPr>
        <w:t xml:space="preserve"> the </w:t>
      </w:r>
      <w:r>
        <w:rPr>
          <w:rFonts w:ascii="Times New Roman" w:hAnsi="Times New Roman" w:eastAsia="宋体"/>
          <w:sz w:val="20"/>
          <w:szCs w:val="20"/>
        </w:rPr>
        <w:t xml:space="preserve">BLER </w:t>
      </w:r>
      <w:r>
        <w:rPr>
          <w:rFonts w:hint="eastAsia" w:ascii="Times New Roman" w:hAnsi="Times New Roman" w:eastAsia="宋体"/>
          <w:sz w:val="20"/>
          <w:szCs w:val="20"/>
        </w:rPr>
        <w:t xml:space="preserve">gaps between </w:t>
      </w:r>
      <w:r>
        <w:rPr>
          <w:rFonts w:ascii="Times New Roman" w:hAnsi="Times New Roman" w:eastAsia="宋体"/>
          <w:sz w:val="20"/>
          <w:szCs w:val="20"/>
        </w:rPr>
        <w:t>1</w:t>
      </w:r>
      <w:r>
        <w:rPr>
          <w:rFonts w:hint="eastAsia" w:ascii="Times New Roman" w:hAnsi="Times New Roman" w:eastAsia="宋体"/>
          <w:sz w:val="20"/>
          <w:szCs w:val="20"/>
          <w:lang w:val="en-US" w:eastAsia="zh-CN"/>
        </w:rPr>
        <w:t>-</w:t>
      </w:r>
      <w:r>
        <w:rPr>
          <w:rFonts w:ascii="Times New Roman" w:hAnsi="Times New Roman" w:eastAsia="宋体"/>
          <w:sz w:val="20"/>
          <w:szCs w:val="20"/>
        </w:rPr>
        <w:t>symbol and 2</w:t>
      </w:r>
      <w:r>
        <w:rPr>
          <w:rFonts w:hint="eastAsia" w:ascii="Times New Roman" w:hAnsi="Times New Roman" w:eastAsia="宋体"/>
          <w:sz w:val="20"/>
          <w:szCs w:val="20"/>
          <w:lang w:val="en-US" w:eastAsia="zh-CN"/>
        </w:rPr>
        <w:t>-</w:t>
      </w:r>
      <w:r>
        <w:rPr>
          <w:rFonts w:ascii="Times New Roman" w:hAnsi="Times New Roman" w:eastAsia="宋体"/>
          <w:sz w:val="20"/>
          <w:szCs w:val="20"/>
        </w:rPr>
        <w:t xml:space="preserve">symbol with </w:t>
      </w:r>
      <w:r>
        <w:rPr>
          <w:rFonts w:hint="eastAsia" w:ascii="Times New Roman" w:hAnsi="Times New Roman" w:eastAsia="宋体"/>
          <w:sz w:val="20"/>
          <w:szCs w:val="20"/>
        </w:rPr>
        <w:t xml:space="preserve">aggregation level 2 and 4 are </w:t>
      </w:r>
      <w:r>
        <w:rPr>
          <w:rFonts w:hint="eastAsia" w:ascii="Times New Roman" w:hAnsi="Times New Roman" w:eastAsia="宋体"/>
          <w:sz w:val="20"/>
          <w:szCs w:val="20"/>
          <w:lang w:val="en-US" w:eastAsia="zh-CN"/>
        </w:rPr>
        <w:t xml:space="preserve">larger </w:t>
      </w:r>
      <w:r>
        <w:rPr>
          <w:rFonts w:ascii="Times New Roman" w:hAnsi="Times New Roman" w:eastAsia="宋体"/>
          <w:sz w:val="20"/>
          <w:szCs w:val="20"/>
        </w:rPr>
        <w:t>than that with</w:t>
      </w:r>
      <w:r>
        <w:rPr>
          <w:rFonts w:hint="eastAsia" w:ascii="Times New Roman" w:hAnsi="Times New Roman" w:eastAsia="宋体"/>
          <w:sz w:val="20"/>
          <w:szCs w:val="20"/>
        </w:rPr>
        <w:t xml:space="preserve"> aggregation level 16 and 8. </w:t>
      </w:r>
      <w:r>
        <w:rPr>
          <w:rFonts w:ascii="Times New Roman" w:hAnsi="Times New Roman" w:eastAsia="宋体"/>
          <w:sz w:val="20"/>
          <w:szCs w:val="20"/>
        </w:rPr>
        <w:t xml:space="preserve">That </w:t>
      </w:r>
      <w:r>
        <w:rPr>
          <w:rFonts w:hint="eastAsia" w:ascii="Times New Roman" w:hAnsi="Times New Roman" w:eastAsia="宋体"/>
          <w:sz w:val="20"/>
          <w:szCs w:val="20"/>
          <w:lang w:val="en-US" w:eastAsia="zh-CN"/>
        </w:rPr>
        <w:t>is</w:t>
      </w:r>
      <w:r>
        <w:rPr>
          <w:rFonts w:ascii="Times New Roman" w:hAnsi="Times New Roman" w:eastAsia="宋体"/>
          <w:sz w:val="20"/>
          <w:szCs w:val="20"/>
        </w:rPr>
        <w:t xml:space="preserve"> because </w:t>
      </w:r>
      <w:r>
        <w:rPr>
          <w:rFonts w:hint="eastAsia" w:ascii="Times New Roman" w:hAnsi="Times New Roman" w:eastAsia="宋体"/>
          <w:sz w:val="20"/>
          <w:szCs w:val="20"/>
        </w:rPr>
        <w:t xml:space="preserve">the code rates for high aggregation levels are low enough, </w:t>
      </w:r>
      <w:r>
        <w:rPr>
          <w:rFonts w:ascii="Times New Roman" w:hAnsi="Times New Roman" w:eastAsia="宋体"/>
          <w:sz w:val="20"/>
          <w:szCs w:val="20"/>
        </w:rPr>
        <w:t>so</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 xml:space="preserve">that </w:t>
      </w:r>
      <w:r>
        <w:rPr>
          <w:rFonts w:hint="eastAsia" w:ascii="Times New Roman" w:hAnsi="Times New Roman" w:eastAsia="宋体"/>
          <w:sz w:val="20"/>
          <w:szCs w:val="20"/>
        </w:rPr>
        <w:t xml:space="preserve">the </w:t>
      </w:r>
      <w:r>
        <w:rPr>
          <w:rFonts w:ascii="Times New Roman" w:hAnsi="Times New Roman" w:eastAsia="宋体"/>
          <w:sz w:val="20"/>
          <w:szCs w:val="20"/>
        </w:rPr>
        <w:t>performance improvement is relative limited</w:t>
      </w:r>
      <w:r>
        <w:rPr>
          <w:rFonts w:hint="eastAsia" w:ascii="Times New Roman" w:hAnsi="Times New Roman" w:eastAsia="宋体"/>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b/>
          <w:bCs/>
          <w:i/>
          <w:sz w:val="20"/>
          <w:szCs w:val="20"/>
        </w:rPr>
      </w:pPr>
      <w:r>
        <w:rPr>
          <w:rFonts w:ascii="Times New Roman" w:hAnsi="Times New Roman" w:eastAsia="宋体"/>
          <w:b/>
          <w:bCs/>
          <w:i/>
          <w:sz w:val="20"/>
          <w:szCs w:val="20"/>
        </w:rPr>
        <w:t>Observation</w:t>
      </w:r>
      <w:r>
        <w:rPr>
          <w:rFonts w:hint="eastAsia" w:ascii="Times New Roman" w:hAnsi="Times New Roman" w:eastAsia="宋体"/>
          <w:b/>
          <w:bCs/>
          <w:i/>
          <w:sz w:val="20"/>
          <w:szCs w:val="20"/>
        </w:rPr>
        <w:t xml:space="preserve"> 1: </w:t>
      </w:r>
      <w:r>
        <w:rPr>
          <w:rFonts w:ascii="Times New Roman" w:hAnsi="Times New Roman" w:eastAsia="宋体"/>
          <w:bCs/>
          <w:i/>
          <w:sz w:val="20"/>
          <w:szCs w:val="20"/>
        </w:rPr>
        <w:t>Compared with the case that NR PDCCH is only transmitted in OFDM symbol 2 (counting from symbol 0)</w:t>
      </w:r>
      <w:r>
        <w:rPr>
          <w:rFonts w:hint="eastAsia" w:ascii="Times New Roman" w:hAnsi="Times New Roman" w:eastAsia="宋体"/>
          <w:i/>
          <w:sz w:val="20"/>
          <w:szCs w:val="20"/>
        </w:rPr>
        <w:t>, t</w:t>
      </w:r>
      <w:r>
        <w:rPr>
          <w:rFonts w:ascii="Times New Roman" w:hAnsi="Times New Roman" w:eastAsia="宋体"/>
          <w:bCs/>
          <w:i/>
          <w:sz w:val="20"/>
          <w:szCs w:val="20"/>
        </w:rPr>
        <w:t xml:space="preserve">he performance gain is observed in case NR PDCCH reception is </w:t>
      </w:r>
      <w:r>
        <w:rPr>
          <w:rFonts w:hint="eastAsia" w:ascii="Times New Roman" w:hAnsi="Times New Roman" w:eastAsia="宋体"/>
          <w:bCs/>
          <w:i/>
          <w:sz w:val="20"/>
          <w:szCs w:val="20"/>
          <w:lang w:val="en-US" w:eastAsia="zh-CN"/>
        </w:rPr>
        <w:t xml:space="preserve">also </w:t>
      </w:r>
      <w:r>
        <w:rPr>
          <w:rFonts w:ascii="Times New Roman" w:hAnsi="Times New Roman" w:eastAsia="宋体"/>
          <w:bCs/>
          <w:i/>
          <w:sz w:val="20"/>
          <w:szCs w:val="20"/>
        </w:rPr>
        <w:t>allowed in OFDM symbol 1 where NR PDCCH REs including PDCCH DMRS are punctured if they collide with LTE CRS.</w:t>
      </w:r>
      <w:r>
        <w:rPr>
          <w:rFonts w:ascii="Times New Roman" w:hAnsi="Times New Roman" w:eastAsia="宋体"/>
          <w:b/>
          <w:bCs/>
          <w:i/>
          <w:sz w:val="20"/>
          <w:szCs w:val="20"/>
        </w:rPr>
        <w:t xml:space="preserve"> </w:t>
      </w:r>
    </w:p>
    <w:p>
      <w:pPr>
        <w:pStyle w:val="3"/>
        <w:snapToGrid w:val="0"/>
        <w:spacing w:line="240" w:lineRule="auto"/>
        <w:rPr>
          <w:sz w:val="24"/>
          <w:szCs w:val="24"/>
        </w:rPr>
      </w:pPr>
      <w:r>
        <w:rPr>
          <w:rFonts w:hint="eastAsia"/>
          <w:sz w:val="24"/>
          <w:szCs w:val="24"/>
        </w:rPr>
        <w:t>3.2 Proposed Solutions</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B</w:t>
      </w:r>
      <w:r>
        <w:rPr>
          <w:rFonts w:ascii="Times New Roman" w:hAnsi="Times New Roman" w:eastAsia="宋体"/>
          <w:sz w:val="20"/>
          <w:szCs w:val="20"/>
        </w:rPr>
        <w:t xml:space="preserve">ased on the discussion in RAN#94e meeting, basically there are two potential solutions </w:t>
      </w:r>
    </w:p>
    <w:p>
      <w:pPr>
        <w:pStyle w:val="89"/>
        <w:numPr>
          <w:ilvl w:val="0"/>
          <w:numId w:val="4"/>
        </w:numPr>
        <w:snapToGrid w:val="0"/>
        <w:spacing w:before="180" w:beforeLines="50" w:afterLines="50" w:line="240" w:lineRule="auto"/>
        <w:jc w:val="both"/>
        <w:rPr>
          <w:sz w:val="20"/>
        </w:rPr>
      </w:pPr>
      <w:r>
        <w:rPr>
          <w:sz w:val="20"/>
        </w:rPr>
        <w:t xml:space="preserve">Option 1: From RAN1 specification perspective, NR PDCCH reception in symbols with LTE CRS REs is allowed. </w:t>
      </w:r>
    </w:p>
    <w:p>
      <w:pPr>
        <w:pStyle w:val="89"/>
        <w:numPr>
          <w:ilvl w:val="1"/>
          <w:numId w:val="4"/>
        </w:numPr>
        <w:snapToGrid w:val="0"/>
        <w:spacing w:before="180" w:beforeLines="50" w:afterLines="50" w:line="240" w:lineRule="auto"/>
        <w:jc w:val="both"/>
        <w:rPr>
          <w:sz w:val="20"/>
        </w:rPr>
      </w:pPr>
      <w:r>
        <w:rPr>
          <w:sz w:val="20"/>
        </w:rPr>
        <w:t xml:space="preserve">A new UE capability is needed to let gNB properly allocate the resources for NR PDCCH. </w:t>
      </w:r>
    </w:p>
    <w:p>
      <w:pPr>
        <w:pStyle w:val="89"/>
        <w:numPr>
          <w:ilvl w:val="0"/>
          <w:numId w:val="4"/>
        </w:numPr>
        <w:snapToGrid w:val="0"/>
        <w:spacing w:before="180" w:beforeLines="50" w:afterLines="50" w:line="240" w:lineRule="auto"/>
        <w:jc w:val="both"/>
        <w:rPr>
          <w:sz w:val="20"/>
        </w:rPr>
      </w:pPr>
      <w:r>
        <w:rPr>
          <w:sz w:val="20"/>
        </w:rPr>
        <w:t xml:space="preserve">Option 2: Up to base station implementation so that LTE CRS is restricted within a narrow bandwidth, e.g. 5MHz or 1.4MHz in the case when LTE traffic is low, then NR PDCCH and LTE CRS will be FDMed in different PRBs. </w:t>
      </w:r>
    </w:p>
    <w:p>
      <w:p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I</w:t>
      </w:r>
      <w:r>
        <w:rPr>
          <w:rFonts w:ascii="Times New Roman" w:hAnsi="Times New Roman" w:eastAsia="宋体"/>
          <w:sz w:val="20"/>
          <w:szCs w:val="20"/>
        </w:rPr>
        <w:t xml:space="preserve">n our view, both options can work. We slightly prefer option 1 as it is a clean solution and does not need much change for LTE base stations. </w:t>
      </w:r>
    </w:p>
    <w:p>
      <w:pPr>
        <w:autoSpaceDE w:val="0"/>
        <w:autoSpaceDN w:val="0"/>
        <w:adjustRightInd w:val="0"/>
        <w:snapToGrid w:val="0"/>
        <w:spacing w:after="0" w:line="240" w:lineRule="auto"/>
        <w:jc w:val="both"/>
        <w:rPr>
          <w:rFonts w:ascii="Times New Roman" w:hAnsi="Times New Roman" w:eastAsia="宋体"/>
          <w:i/>
          <w:sz w:val="20"/>
          <w:szCs w:val="20"/>
        </w:rPr>
      </w:pPr>
      <w:r>
        <w:rPr>
          <w:rFonts w:hint="eastAsia" w:ascii="Times New Roman" w:hAnsi="Times New Roman" w:eastAsia="宋体"/>
          <w:b/>
          <w:i/>
          <w:sz w:val="20"/>
          <w:szCs w:val="20"/>
        </w:rPr>
        <w:t>P</w:t>
      </w:r>
      <w:r>
        <w:rPr>
          <w:rFonts w:ascii="Times New Roman" w:hAnsi="Times New Roman" w:eastAsia="宋体"/>
          <w:b/>
          <w:i/>
          <w:sz w:val="20"/>
          <w:szCs w:val="20"/>
        </w:rPr>
        <w:t>roposal 1:</w:t>
      </w:r>
      <w:r>
        <w:rPr>
          <w:rFonts w:ascii="Times New Roman" w:hAnsi="Times New Roman" w:eastAsia="宋体"/>
          <w:i/>
          <w:sz w:val="20"/>
          <w:szCs w:val="20"/>
        </w:rPr>
        <w:t xml:space="preserve"> Down-select from the following options</w:t>
      </w:r>
      <w:r>
        <w:rPr>
          <w:rFonts w:hint="eastAsia" w:ascii="Times New Roman" w:hAnsi="Times New Roman" w:eastAsia="宋体"/>
          <w:i/>
          <w:sz w:val="20"/>
          <w:szCs w:val="20"/>
        </w:rPr>
        <w:t xml:space="preserve">. </w:t>
      </w:r>
    </w:p>
    <w:p>
      <w:pPr>
        <w:pStyle w:val="89"/>
        <w:numPr>
          <w:ilvl w:val="0"/>
          <w:numId w:val="5"/>
        </w:numPr>
        <w:snapToGrid w:val="0"/>
        <w:spacing w:after="0" w:line="240" w:lineRule="auto"/>
        <w:jc w:val="both"/>
        <w:rPr>
          <w:i/>
          <w:sz w:val="20"/>
        </w:rPr>
      </w:pPr>
      <w:r>
        <w:rPr>
          <w:i/>
          <w:sz w:val="20"/>
        </w:rPr>
        <w:t xml:space="preserve">Option 1: From RAN1 specification perspective, NR PDCCH reception in symbols with LTE CRS REs is allowed. </w:t>
      </w:r>
    </w:p>
    <w:p>
      <w:pPr>
        <w:pStyle w:val="89"/>
        <w:numPr>
          <w:ilvl w:val="1"/>
          <w:numId w:val="5"/>
        </w:numPr>
        <w:snapToGrid w:val="0"/>
        <w:spacing w:after="0" w:line="240" w:lineRule="auto"/>
        <w:jc w:val="both"/>
        <w:rPr>
          <w:i/>
          <w:sz w:val="20"/>
        </w:rPr>
      </w:pPr>
      <w:r>
        <w:rPr>
          <w:i/>
          <w:sz w:val="20"/>
        </w:rPr>
        <w:t xml:space="preserve">A new UE capability is needed to let gNB properly allocate the resources for NR PDCCH. </w:t>
      </w:r>
    </w:p>
    <w:p>
      <w:pPr>
        <w:pStyle w:val="89"/>
        <w:numPr>
          <w:ilvl w:val="0"/>
          <w:numId w:val="5"/>
        </w:numPr>
        <w:snapToGrid w:val="0"/>
        <w:spacing w:after="0" w:line="240" w:lineRule="auto"/>
        <w:jc w:val="both"/>
        <w:rPr>
          <w:i/>
          <w:sz w:val="20"/>
        </w:rPr>
      </w:pPr>
      <w:r>
        <w:rPr>
          <w:i/>
          <w:sz w:val="20"/>
        </w:rPr>
        <w:t>Option 2: Up to base station implementation so that LTE CRS is restricted within a narrow bandwidth, e.g. 5MHz or 1.4MHz in the case when LTE traffic is low, then NR PDCCH and LTE CRS will be FDMed in different PRBs.</w:t>
      </w:r>
    </w:p>
    <w:p>
      <w:pPr>
        <w:autoSpaceDE w:val="0"/>
        <w:autoSpaceDN w:val="0"/>
        <w:adjustRightInd w:val="0"/>
        <w:snapToGrid w:val="0"/>
        <w:spacing w:after="120" w:line="240" w:lineRule="auto"/>
        <w:jc w:val="both"/>
        <w:rPr>
          <w:rFonts w:ascii="Times New Roman" w:hAnsi="Times New Roman" w:eastAsia="宋体"/>
          <w:sz w:val="20"/>
          <w:szCs w:val="20"/>
        </w:rPr>
      </w:pPr>
    </w:p>
    <w:p>
      <w:p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If the gains of NR PDCCH overlapping with LTE CRS is identified and agreed, gNB can configure or mapping the NR PDCCH into the OFDM symbols which are collided with LTE CRS. As analyzed in [3], the behavior of UE monitoring NR PDCCH need to be modified accordingly. Below is</w:t>
      </w:r>
      <w:r>
        <w:rPr>
          <w:rFonts w:ascii="Times New Roman" w:hAnsi="Times New Roman" w:eastAsia="宋体"/>
          <w:sz w:val="20"/>
          <w:szCs w:val="20"/>
        </w:rPr>
        <w:t xml:space="preserve"> the text proposal </w:t>
      </w:r>
      <w:r>
        <w:rPr>
          <w:rFonts w:hint="eastAsia" w:ascii="Times New Roman" w:hAnsi="Times New Roman" w:eastAsia="宋体"/>
          <w:sz w:val="20"/>
          <w:szCs w:val="20"/>
        </w:rPr>
        <w:t>f</w:t>
      </w:r>
      <w:r>
        <w:rPr>
          <w:rFonts w:ascii="Times New Roman" w:hAnsi="Times New Roman" w:eastAsia="宋体"/>
          <w:sz w:val="20"/>
          <w:szCs w:val="20"/>
        </w:rPr>
        <w:t>or Option 1</w:t>
      </w:r>
      <w:r>
        <w:rPr>
          <w:rFonts w:hint="eastAsia" w:ascii="Times New Roman" w:hAnsi="Times New Roman" w:eastAsia="宋体"/>
          <w:sz w:val="20"/>
          <w:szCs w:val="20"/>
        </w:rPr>
        <w:t xml:space="preserve"> </w:t>
      </w:r>
      <w:r>
        <w:rPr>
          <w:rFonts w:ascii="Times New Roman" w:hAnsi="Times New Roman" w:eastAsia="宋体"/>
          <w:sz w:val="20"/>
          <w:szCs w:val="20"/>
        </w:rPr>
        <w:t xml:space="preserve">based the existing </w:t>
      </w:r>
      <w:r>
        <w:rPr>
          <w:rFonts w:hint="eastAsia" w:ascii="Times New Roman" w:hAnsi="Times New Roman" w:eastAsia="宋体"/>
          <w:sz w:val="20"/>
          <w:szCs w:val="20"/>
        </w:rPr>
        <w:t xml:space="preserve">TS </w:t>
      </w:r>
      <w:r>
        <w:rPr>
          <w:rFonts w:ascii="Times New Roman" w:hAnsi="Times New Roman" w:eastAsia="宋体"/>
          <w:sz w:val="20"/>
          <w:szCs w:val="20"/>
        </w:rPr>
        <w:t xml:space="preserve">38.213 [2].  </w:t>
      </w:r>
    </w:p>
    <w:p>
      <w:pPr>
        <w:autoSpaceDE w:val="0"/>
        <w:autoSpaceDN w:val="0"/>
        <w:adjustRightInd w:val="0"/>
        <w:snapToGrid w:val="0"/>
        <w:spacing w:after="120" w:line="240" w:lineRule="auto"/>
        <w:jc w:val="both"/>
        <w:rPr>
          <w:rFonts w:ascii="Times New Roman" w:hAnsi="Times New Roman" w:eastAsia="宋体"/>
          <w:sz w:val="20"/>
          <w:szCs w:val="20"/>
        </w:rPr>
      </w:pPr>
    </w:p>
    <w:tbl>
      <w:tblPr>
        <w:tblStyle w:val="10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5" w:type="dxa"/>
          </w:tcPr>
          <w:p>
            <w:pPr>
              <w:pStyle w:val="2"/>
              <w:numPr>
                <w:ilvl w:val="0"/>
                <w:numId w:val="0"/>
              </w:numPr>
              <w:snapToGrid w:val="0"/>
              <w:ind w:left="432" w:hanging="432"/>
              <w:jc w:val="both"/>
              <w:outlineLvl w:val="0"/>
              <w:rPr>
                <w:rFonts w:eastAsia="宋体"/>
                <w:kern w:val="36"/>
                <w:sz w:val="36"/>
                <w:szCs w:val="36"/>
                <w:lang w:val="en-US"/>
              </w:rPr>
            </w:pPr>
            <w:r>
              <w:rPr>
                <w:b w:val="0"/>
                <w:bCs w:val="0"/>
                <w:kern w:val="36"/>
                <w:lang w:val="en-US"/>
              </w:rPr>
              <w:t>10</w:t>
            </w:r>
            <w:r>
              <w:rPr>
                <w:rFonts w:hint="eastAsia"/>
                <w:b w:val="0"/>
                <w:bCs w:val="0"/>
                <w:kern w:val="36"/>
                <w:lang w:val="en-US"/>
              </w:rPr>
              <w:tab/>
            </w:r>
            <w:r>
              <w:rPr>
                <w:b w:val="0"/>
                <w:bCs w:val="0"/>
                <w:kern w:val="36"/>
                <w:lang w:val="en-US"/>
              </w:rPr>
              <w:t>UE procedure for receiving control information</w:t>
            </w:r>
          </w:p>
          <w:p>
            <w:pPr>
              <w:widowControl w:val="0"/>
              <w:autoSpaceDE w:val="0"/>
              <w:autoSpaceDN w:val="0"/>
              <w:adjustRightInd w:val="0"/>
              <w:snapToGrid w:val="0"/>
              <w:spacing w:after="180" w:line="240" w:lineRule="auto"/>
              <w:jc w:val="center"/>
              <w:rPr>
                <w:rFonts w:ascii="Times New Roman" w:hAnsi="Times New Roman" w:eastAsia="宋体"/>
                <w:sz w:val="20"/>
                <w:szCs w:val="20"/>
              </w:rPr>
            </w:pPr>
            <w:r>
              <w:rPr>
                <w:rFonts w:ascii="Times New Roman" w:hAnsi="Times New Roman" w:eastAsia="宋体"/>
                <w:color w:val="0070C0"/>
                <w:sz w:val="20"/>
                <w:szCs w:val="20"/>
                <w:lang w:val="en-GB" w:eastAsia="en-US"/>
              </w:rPr>
              <w:t xml:space="preserve"> &lt;unchanged parts omitted&gt;</w:t>
            </w:r>
          </w:p>
          <w:p>
            <w:pPr>
              <w:widowControl w:val="0"/>
              <w:snapToGrid w:val="0"/>
              <w:spacing w:before="100" w:beforeAutospacing="1" w:after="180" w:line="240" w:lineRule="auto"/>
              <w:jc w:val="both"/>
              <w:rPr>
                <w:rFonts w:ascii="Times New Roman" w:hAnsi="Times New Roman" w:eastAsia="宋体"/>
                <w:sz w:val="20"/>
                <w:szCs w:val="20"/>
              </w:rPr>
            </w:pPr>
            <w:r>
              <w:rPr>
                <w:rFonts w:ascii="Times New Roman" w:hAnsi="Times New Roman" w:eastAsia="宋体"/>
                <w:sz w:val="20"/>
                <w:szCs w:val="20"/>
              </w:rPr>
              <w:t xml:space="preserve">If at least one RE of a PDCCH candidate for a UE on the serving cell overlaps with at least one RE of </w:t>
            </w:r>
            <w:r>
              <w:rPr>
                <w:rFonts w:ascii="Times New Roman" w:hAnsi="Times New Roman" w:eastAsia="宋体"/>
                <w:i/>
                <w:iCs/>
                <w:sz w:val="20"/>
                <w:szCs w:val="20"/>
              </w:rPr>
              <w:t>lte-CRS-ToMatchAround</w:t>
            </w:r>
            <w:r>
              <w:rPr>
                <w:rFonts w:ascii="Times New Roman" w:hAnsi="Times New Roman" w:eastAsia="宋体"/>
                <w:sz w:val="20"/>
                <w:szCs w:val="20"/>
              </w:rPr>
              <w:t>, or of</w:t>
            </w:r>
            <w:r>
              <w:rPr>
                <w:rFonts w:ascii="Times New Roman" w:hAnsi="Times New Roman" w:eastAsia="宋体"/>
                <w:i/>
                <w:iCs/>
                <w:sz w:val="20"/>
                <w:szCs w:val="20"/>
              </w:rPr>
              <w:t xml:space="preserve"> LTE-CRS-PatternList</w:t>
            </w:r>
            <w:r>
              <w:rPr>
                <w:rFonts w:ascii="Times New Roman" w:hAnsi="Times New Roman" w:eastAsia="宋体"/>
                <w:sz w:val="20"/>
                <w:szCs w:val="20"/>
              </w:rPr>
              <w:t xml:space="preserve">, the UE </w:t>
            </w:r>
            <w:r>
              <w:rPr>
                <w:rFonts w:ascii="Times New Roman" w:hAnsi="Times New Roman" w:eastAsia="宋体"/>
                <w:color w:val="FF0000"/>
                <w:sz w:val="20"/>
                <w:szCs w:val="20"/>
                <w:u w:val="single"/>
              </w:rPr>
              <w:t xml:space="preserve">based on a UE capability may </w:t>
            </w:r>
            <w:r>
              <w:rPr>
                <w:rFonts w:ascii="Times New Roman" w:hAnsi="Times New Roman" w:eastAsia="宋体"/>
                <w:strike/>
                <w:color w:val="FF0000"/>
                <w:sz w:val="20"/>
                <w:szCs w:val="20"/>
              </w:rPr>
              <w:t xml:space="preserve">is </w:t>
            </w:r>
            <w:r>
              <w:rPr>
                <w:rFonts w:ascii="Times New Roman" w:hAnsi="Times New Roman" w:eastAsia="宋体"/>
                <w:sz w:val="20"/>
                <w:szCs w:val="20"/>
              </w:rPr>
              <w:t>not</w:t>
            </w:r>
            <w:r>
              <w:rPr>
                <w:rFonts w:ascii="Times New Roman" w:hAnsi="Times New Roman" w:eastAsia="宋体"/>
                <w:color w:val="FF0000"/>
                <w:sz w:val="20"/>
                <w:szCs w:val="20"/>
                <w:u w:val="single"/>
              </w:rPr>
              <w:t xml:space="preserve"> be </w:t>
            </w:r>
            <w:r>
              <w:rPr>
                <w:rFonts w:ascii="Times New Roman" w:hAnsi="Times New Roman" w:eastAsia="宋体"/>
                <w:sz w:val="20"/>
                <w:szCs w:val="20"/>
              </w:rPr>
              <w:t>required to monitor the PDCCH candidate.</w:t>
            </w:r>
          </w:p>
          <w:p>
            <w:pPr>
              <w:widowControl w:val="0"/>
              <w:autoSpaceDE w:val="0"/>
              <w:autoSpaceDN w:val="0"/>
              <w:adjustRightInd w:val="0"/>
              <w:snapToGrid w:val="0"/>
              <w:spacing w:after="180" w:line="240" w:lineRule="auto"/>
              <w:jc w:val="center"/>
              <w:rPr>
                <w:rFonts w:ascii="Times New Roman" w:hAnsi="Times New Roman" w:eastAsia="宋体"/>
                <w:color w:val="0070C0"/>
                <w:sz w:val="20"/>
                <w:szCs w:val="20"/>
                <w:lang w:val="en-GB" w:eastAsia="en-US"/>
              </w:rPr>
            </w:pPr>
            <w:r>
              <w:rPr>
                <w:rFonts w:ascii="Times New Roman" w:hAnsi="Times New Roman" w:eastAsia="宋体"/>
                <w:color w:val="0070C0"/>
                <w:sz w:val="20"/>
                <w:szCs w:val="20"/>
                <w:lang w:val="en-GB" w:eastAsia="en-US"/>
              </w:rPr>
              <w:t>&lt;unchanged parts omitted&gt;</w:t>
            </w:r>
          </w:p>
          <w:p>
            <w:pPr>
              <w:widowControl w:val="0"/>
              <w:snapToGrid w:val="0"/>
              <w:jc w:val="both"/>
              <w:rPr>
                <w:rFonts w:ascii="Times New Roman" w:hAnsi="Times New Roman" w:eastAsia="黑体"/>
                <w:kern w:val="36"/>
                <w:sz w:val="28"/>
                <w:szCs w:val="28"/>
              </w:rPr>
            </w:pPr>
            <w:r>
              <w:rPr>
                <w:rFonts w:ascii="Times New Roman" w:hAnsi="Times New Roman" w:eastAsia="黑体"/>
                <w:kern w:val="36"/>
                <w:sz w:val="28"/>
                <w:szCs w:val="28"/>
              </w:rPr>
              <w:t>10.1</w:t>
            </w:r>
            <w:r>
              <w:rPr>
                <w:rFonts w:ascii="Times New Roman" w:hAnsi="Times New Roman" w:eastAsia="黑体"/>
                <w:kern w:val="36"/>
                <w:sz w:val="28"/>
                <w:szCs w:val="28"/>
              </w:rPr>
              <w:tab/>
            </w:r>
            <w:r>
              <w:rPr>
                <w:rFonts w:ascii="Times New Roman" w:hAnsi="Times New Roman" w:eastAsia="黑体"/>
                <w:kern w:val="36"/>
                <w:sz w:val="28"/>
                <w:szCs w:val="28"/>
              </w:rPr>
              <w:t>UE procedure for determining physical downlink control channel assignment</w:t>
            </w:r>
          </w:p>
          <w:p>
            <w:pPr>
              <w:widowControl w:val="0"/>
              <w:autoSpaceDE w:val="0"/>
              <w:autoSpaceDN w:val="0"/>
              <w:adjustRightInd w:val="0"/>
              <w:snapToGrid w:val="0"/>
              <w:spacing w:after="180" w:line="240" w:lineRule="auto"/>
              <w:jc w:val="center"/>
              <w:rPr>
                <w:rFonts w:ascii="Times New Roman" w:hAnsi="Times New Roman" w:eastAsia="宋体"/>
                <w:color w:val="0070C0"/>
                <w:sz w:val="20"/>
                <w:szCs w:val="20"/>
                <w:lang w:val="en-GB" w:eastAsia="en-US"/>
              </w:rPr>
            </w:pPr>
            <w:r>
              <w:rPr>
                <w:rFonts w:ascii="Times New Roman" w:hAnsi="Times New Roman" w:eastAsia="宋体"/>
                <w:color w:val="0070C0"/>
                <w:sz w:val="20"/>
                <w:szCs w:val="20"/>
                <w:lang w:val="en-GB" w:eastAsia="en-US"/>
              </w:rPr>
              <w:t xml:space="preserve"> &lt;unchanged parts omitted&gt;</w:t>
            </w:r>
          </w:p>
          <w:p>
            <w:pPr>
              <w:widowControl w:val="0"/>
              <w:snapToGrid w:val="0"/>
              <w:spacing w:before="100" w:beforeAutospacing="1" w:after="180" w:line="240" w:lineRule="auto"/>
              <w:jc w:val="both"/>
              <w:rPr>
                <w:rFonts w:ascii="Times New Roman" w:hAnsi="Times New Roman" w:eastAsia="宋体"/>
                <w:sz w:val="20"/>
                <w:szCs w:val="20"/>
              </w:rPr>
            </w:pPr>
            <w:r>
              <w:rPr>
                <w:rFonts w:ascii="Times New Roman" w:hAnsi="Times New Roman" w:eastAsia="宋体"/>
                <w:sz w:val="20"/>
                <w:szCs w:val="20"/>
              </w:rPr>
              <w:t xml:space="preserve">When </w:t>
            </w:r>
            <w:r>
              <w:rPr>
                <w:rFonts w:ascii="Times New Roman" w:hAnsi="Times New Roman" w:eastAsia="宋体"/>
                <w:i/>
                <w:iCs/>
                <w:sz w:val="20"/>
                <w:szCs w:val="20"/>
              </w:rPr>
              <w:t>precoderGranularity</w:t>
            </w:r>
            <w:r>
              <w:rPr>
                <w:rFonts w:ascii="Times New Roman" w:hAnsi="Times New Roman" w:eastAsia="宋体"/>
                <w:sz w:val="20"/>
                <w:szCs w:val="20"/>
              </w:rPr>
              <w:t xml:space="preserve"> = </w:t>
            </w:r>
            <w:r>
              <w:rPr>
                <w:rFonts w:ascii="Times New Roman" w:hAnsi="Times New Roman" w:eastAsia="宋体"/>
                <w:i/>
                <w:iCs/>
                <w:sz w:val="20"/>
                <w:szCs w:val="20"/>
              </w:rPr>
              <w:t>allContiguousRBs</w:t>
            </w:r>
            <w:r>
              <w:rPr>
                <w:rFonts w:ascii="Times New Roman" w:hAnsi="Times New Roman" w:eastAsia="宋体"/>
                <w:sz w:val="20"/>
                <w:szCs w:val="20"/>
              </w:rPr>
              <w:t xml:space="preserve">, a UE does not expect </w:t>
            </w:r>
          </w:p>
          <w:p>
            <w:pPr>
              <w:widowControl w:val="0"/>
              <w:snapToGrid w:val="0"/>
              <w:spacing w:before="100" w:beforeAutospacing="1" w:after="180" w:line="240" w:lineRule="auto"/>
              <w:ind w:left="568" w:hanging="284"/>
              <w:jc w:val="both"/>
              <w:rPr>
                <w:rFonts w:ascii="Times New Roman" w:hAnsi="Times New Roman" w:eastAsia="宋体"/>
                <w:sz w:val="20"/>
                <w:szCs w:val="20"/>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to be configured a set of resource blocks of a CORESET that includes more than four sub-sets of resource blocks that are not contiguous in frequency</w:t>
            </w:r>
          </w:p>
          <w:p>
            <w:pPr>
              <w:widowControl w:val="0"/>
              <w:snapToGrid w:val="0"/>
              <w:spacing w:before="100" w:beforeAutospacing="1" w:after="180" w:line="240" w:lineRule="auto"/>
              <w:ind w:left="568" w:hanging="284"/>
              <w:jc w:val="both"/>
              <w:rPr>
                <w:rFonts w:ascii="Times New Roman" w:hAnsi="Times New Roman" w:eastAsia="宋体"/>
                <w:sz w:val="20"/>
                <w:szCs w:val="20"/>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any RE of a CORESET to overlap with any RE determined from </w:t>
            </w:r>
            <w:r>
              <w:rPr>
                <w:rFonts w:ascii="Times New Roman" w:hAnsi="Times New Roman" w:eastAsia="宋体"/>
                <w:i/>
                <w:iCs/>
                <w:sz w:val="20"/>
                <w:szCs w:val="20"/>
              </w:rPr>
              <w:t>lte-CRS-ToMatchAround</w:t>
            </w:r>
            <w:r>
              <w:rPr>
                <w:rFonts w:ascii="Times New Roman" w:hAnsi="Times New Roman" w:eastAsia="宋体"/>
                <w:sz w:val="20"/>
                <w:szCs w:val="20"/>
              </w:rPr>
              <w:t>, or from</w:t>
            </w:r>
            <w:r>
              <w:rPr>
                <w:rFonts w:ascii="Times New Roman" w:hAnsi="Times New Roman" w:eastAsia="宋体"/>
                <w:i/>
                <w:iCs/>
                <w:sz w:val="20"/>
                <w:szCs w:val="20"/>
              </w:rPr>
              <w:t xml:space="preserve"> LTE-CRS-PatternList </w:t>
            </w:r>
            <w:r>
              <w:rPr>
                <w:rFonts w:ascii="Times New Roman" w:hAnsi="Times New Roman" w:eastAsia="宋体"/>
                <w:color w:val="FF0000"/>
                <w:sz w:val="20"/>
                <w:szCs w:val="20"/>
                <w:u w:val="single"/>
              </w:rPr>
              <w:t>depending on a UE capability</w:t>
            </w:r>
            <w:r>
              <w:rPr>
                <w:rFonts w:ascii="Times New Roman" w:hAnsi="Times New Roman" w:eastAsia="宋体"/>
                <w:sz w:val="20"/>
                <w:szCs w:val="20"/>
              </w:rPr>
              <w:t>, or with any RE of a SS/PBCH block.</w:t>
            </w:r>
          </w:p>
          <w:p>
            <w:pPr>
              <w:widowControl w:val="0"/>
              <w:autoSpaceDE w:val="0"/>
              <w:autoSpaceDN w:val="0"/>
              <w:adjustRightInd w:val="0"/>
              <w:snapToGrid w:val="0"/>
              <w:spacing w:after="180" w:line="240" w:lineRule="auto"/>
              <w:jc w:val="center"/>
              <w:rPr>
                <w:rFonts w:ascii="Times New Roman" w:hAnsi="Times New Roman" w:eastAsia="宋体"/>
                <w:sz w:val="20"/>
                <w:szCs w:val="20"/>
              </w:rPr>
            </w:pPr>
            <w:r>
              <w:rPr>
                <w:rFonts w:ascii="Times New Roman" w:hAnsi="Times New Roman" w:eastAsia="宋体"/>
                <w:color w:val="0070C0"/>
                <w:sz w:val="20"/>
                <w:szCs w:val="20"/>
                <w:lang w:val="en-GB" w:eastAsia="en-US"/>
              </w:rPr>
              <w:t>&lt;unchanged parts omitted&gt;</w:t>
            </w:r>
          </w:p>
        </w:tc>
      </w:tr>
    </w:tbl>
    <w:p>
      <w:pPr>
        <w:autoSpaceDE w:val="0"/>
        <w:autoSpaceDN w:val="0"/>
        <w:adjustRightInd w:val="0"/>
        <w:snapToGrid w:val="0"/>
        <w:spacing w:after="120" w:line="240" w:lineRule="auto"/>
        <w:jc w:val="both"/>
        <w:rPr>
          <w:rFonts w:ascii="Times New Roman" w:hAnsi="Times New Roman" w:eastAsia="宋体"/>
        </w:rPr>
      </w:pPr>
    </w:p>
    <w:p>
      <w:pPr>
        <w:pStyle w:val="2"/>
        <w:snapToGrid w:val="0"/>
        <w:spacing w:before="120" w:after="180" w:afterLines="50"/>
        <w:ind w:left="431" w:hanging="431"/>
        <w:jc w:val="both"/>
        <w:rPr>
          <w:sz w:val="28"/>
          <w:lang w:val="en-US"/>
        </w:rPr>
      </w:pPr>
      <w:r>
        <w:rPr>
          <w:rFonts w:hint="eastAsia"/>
          <w:sz w:val="28"/>
          <w:lang w:val="en-US"/>
        </w:rPr>
        <w:t>Conclusion</w:t>
      </w:r>
    </w:p>
    <w:p>
      <w:p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In this contribution, we discuss the NR PDCCH with LTE CRS overlapping, and we have the following observation and proposal:</w:t>
      </w:r>
    </w:p>
    <w:p>
      <w:pPr>
        <w:autoSpaceDE w:val="0"/>
        <w:autoSpaceDN w:val="0"/>
        <w:adjustRightInd w:val="0"/>
        <w:snapToGrid w:val="0"/>
        <w:spacing w:after="120" w:line="240" w:lineRule="auto"/>
        <w:jc w:val="both"/>
        <w:rPr>
          <w:rFonts w:ascii="Times New Roman" w:hAnsi="Times New Roman" w:eastAsia="宋体"/>
          <w:bCs/>
          <w:i/>
          <w:sz w:val="20"/>
          <w:szCs w:val="20"/>
        </w:rPr>
      </w:pPr>
      <w:r>
        <w:rPr>
          <w:rFonts w:ascii="Times New Roman" w:hAnsi="Times New Roman" w:eastAsia="宋体"/>
          <w:b/>
          <w:bCs/>
          <w:i/>
          <w:sz w:val="20"/>
          <w:szCs w:val="20"/>
        </w:rPr>
        <w:t>Observation</w:t>
      </w:r>
      <w:r>
        <w:rPr>
          <w:rFonts w:hint="eastAsia" w:ascii="Times New Roman" w:hAnsi="Times New Roman" w:eastAsia="宋体"/>
          <w:b/>
          <w:bCs/>
          <w:i/>
          <w:sz w:val="20"/>
          <w:szCs w:val="20"/>
        </w:rPr>
        <w:t xml:space="preserve"> 1: </w:t>
      </w:r>
      <w:r>
        <w:rPr>
          <w:rFonts w:ascii="Times New Roman" w:hAnsi="Times New Roman" w:eastAsia="宋体"/>
          <w:bCs/>
          <w:i/>
          <w:sz w:val="20"/>
          <w:szCs w:val="20"/>
        </w:rPr>
        <w:t>Compared with the case that NR PDCCH is only transmitted in OFDM symbol 2 (counting from symbol 0)</w:t>
      </w:r>
      <w:r>
        <w:rPr>
          <w:rFonts w:ascii="Times New Roman" w:hAnsi="Times New Roman" w:eastAsia="宋体"/>
          <w:b/>
          <w:bCs/>
          <w:i/>
          <w:sz w:val="20"/>
          <w:szCs w:val="20"/>
        </w:rPr>
        <w:t xml:space="preserve">,  </w:t>
      </w:r>
      <w:r>
        <w:rPr>
          <w:rFonts w:ascii="Times New Roman" w:hAnsi="Times New Roman" w:eastAsia="宋体"/>
          <w:bCs/>
          <w:i/>
          <w:sz w:val="20"/>
          <w:szCs w:val="20"/>
        </w:rPr>
        <w:t xml:space="preserve">The performance gain is observed in the case when NR PDCCH reception is </w:t>
      </w:r>
      <w:r>
        <w:rPr>
          <w:rFonts w:hint="eastAsia" w:ascii="Times New Roman" w:hAnsi="Times New Roman" w:eastAsia="宋体"/>
          <w:bCs/>
          <w:i/>
          <w:sz w:val="20"/>
          <w:szCs w:val="20"/>
          <w:lang w:val="en-US" w:eastAsia="zh-CN"/>
        </w:rPr>
        <w:t xml:space="preserve">also </w:t>
      </w:r>
      <w:bookmarkStart w:id="6" w:name="_GoBack"/>
      <w:bookmarkEnd w:id="6"/>
      <w:r>
        <w:rPr>
          <w:rFonts w:ascii="Times New Roman" w:hAnsi="Times New Roman" w:eastAsia="宋体"/>
          <w:bCs/>
          <w:i/>
          <w:sz w:val="20"/>
          <w:szCs w:val="20"/>
        </w:rPr>
        <w:t>allowed in OFDM symbol 1 where NR PDCCH REs including PDCCH DMRS are punctured if they collide with LTE CRS.</w:t>
      </w:r>
    </w:p>
    <w:p>
      <w:pPr>
        <w:autoSpaceDE w:val="0"/>
        <w:autoSpaceDN w:val="0"/>
        <w:adjustRightInd w:val="0"/>
        <w:snapToGrid w:val="0"/>
        <w:spacing w:after="0" w:line="240" w:lineRule="auto"/>
        <w:jc w:val="both"/>
        <w:rPr>
          <w:rFonts w:ascii="Times New Roman" w:hAnsi="Times New Roman" w:eastAsia="宋体"/>
          <w:i/>
          <w:sz w:val="20"/>
          <w:szCs w:val="20"/>
        </w:rPr>
      </w:pPr>
      <w:r>
        <w:rPr>
          <w:rFonts w:hint="eastAsia" w:ascii="Times New Roman" w:hAnsi="Times New Roman" w:eastAsia="宋体"/>
          <w:b/>
          <w:i/>
          <w:sz w:val="20"/>
          <w:szCs w:val="20"/>
        </w:rPr>
        <w:t>P</w:t>
      </w:r>
      <w:r>
        <w:rPr>
          <w:rFonts w:ascii="Times New Roman" w:hAnsi="Times New Roman" w:eastAsia="宋体"/>
          <w:b/>
          <w:i/>
          <w:sz w:val="20"/>
          <w:szCs w:val="20"/>
        </w:rPr>
        <w:t>roposal 1:</w:t>
      </w:r>
      <w:r>
        <w:rPr>
          <w:rFonts w:ascii="Times New Roman" w:hAnsi="Times New Roman" w:eastAsia="宋体"/>
          <w:i/>
          <w:sz w:val="20"/>
          <w:szCs w:val="20"/>
        </w:rPr>
        <w:t xml:space="preserve"> Down-select from the following options</w:t>
      </w:r>
    </w:p>
    <w:p>
      <w:pPr>
        <w:pStyle w:val="89"/>
        <w:numPr>
          <w:ilvl w:val="0"/>
          <w:numId w:val="5"/>
        </w:numPr>
        <w:snapToGrid w:val="0"/>
        <w:spacing w:after="0" w:line="240" w:lineRule="auto"/>
        <w:jc w:val="both"/>
        <w:rPr>
          <w:i/>
          <w:sz w:val="20"/>
        </w:rPr>
      </w:pPr>
      <w:r>
        <w:rPr>
          <w:i/>
          <w:sz w:val="20"/>
        </w:rPr>
        <w:t xml:space="preserve">Option 1: From RAN1 specification perspective, NR PDCCH reception in symbols with LTE CRS REs is allowed. </w:t>
      </w:r>
    </w:p>
    <w:p>
      <w:pPr>
        <w:pStyle w:val="89"/>
        <w:numPr>
          <w:ilvl w:val="1"/>
          <w:numId w:val="5"/>
        </w:numPr>
        <w:snapToGrid w:val="0"/>
        <w:spacing w:after="0" w:line="240" w:lineRule="auto"/>
        <w:jc w:val="both"/>
        <w:rPr>
          <w:i/>
          <w:sz w:val="20"/>
        </w:rPr>
      </w:pPr>
      <w:r>
        <w:rPr>
          <w:i/>
          <w:sz w:val="20"/>
        </w:rPr>
        <w:t xml:space="preserve">A new UE capability is needed to let gNB properly allocate the resources for NR PDCCH. </w:t>
      </w:r>
    </w:p>
    <w:p>
      <w:pPr>
        <w:pStyle w:val="89"/>
        <w:numPr>
          <w:ilvl w:val="0"/>
          <w:numId w:val="5"/>
        </w:numPr>
        <w:snapToGrid w:val="0"/>
        <w:spacing w:after="0" w:line="240" w:lineRule="auto"/>
        <w:jc w:val="both"/>
        <w:rPr>
          <w:i/>
          <w:sz w:val="20"/>
        </w:rPr>
      </w:pPr>
      <w:r>
        <w:rPr>
          <w:i/>
          <w:sz w:val="20"/>
        </w:rPr>
        <w:t>Option 2: Up to base station implementation so that LTE CRS is restricted within a narrow bandwidth, e.g. 5MHz or 1.4MHz in the case when LTE traffic is low, then NR PDCCH and LTE CRS will be FDMed in different PRBs.</w:t>
      </w:r>
    </w:p>
    <w:p>
      <w:pPr>
        <w:autoSpaceDE w:val="0"/>
        <w:autoSpaceDN w:val="0"/>
        <w:adjustRightInd w:val="0"/>
        <w:snapToGrid w:val="0"/>
        <w:spacing w:after="120" w:line="240" w:lineRule="auto"/>
        <w:jc w:val="both"/>
        <w:rPr>
          <w:rFonts w:ascii="Times New Roman" w:hAnsi="Times New Roman" w:eastAsia="宋体"/>
          <w:bCs/>
          <w:i/>
          <w:sz w:val="20"/>
          <w:szCs w:val="20"/>
          <w:lang w:eastAsia="ko-KR"/>
        </w:rPr>
      </w:pPr>
    </w:p>
    <w:p>
      <w:pPr>
        <w:pStyle w:val="2"/>
        <w:snapToGrid w:val="0"/>
        <w:spacing w:before="120" w:after="180" w:afterLines="50"/>
        <w:ind w:left="431" w:hanging="431"/>
        <w:jc w:val="both"/>
        <w:rPr>
          <w:sz w:val="28"/>
          <w:lang w:val="en-US"/>
        </w:rPr>
      </w:pPr>
      <w:r>
        <w:rPr>
          <w:rFonts w:hint="eastAsia"/>
          <w:sz w:val="28"/>
          <w:lang w:val="en-US"/>
        </w:rPr>
        <w:t>Reference</w:t>
      </w:r>
    </w:p>
    <w:p>
      <w:pPr>
        <w:numPr>
          <w:ilvl w:val="0"/>
          <w:numId w:val="6"/>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RP-213575</w:t>
      </w:r>
      <w:r>
        <w:rPr>
          <w:rFonts w:hint="eastAsia" w:ascii="Times New Roman" w:hAnsi="Times New Roman" w:eastAsia="宋体"/>
          <w:sz w:val="20"/>
          <w:szCs w:val="20"/>
          <w:lang w:val="en-US" w:eastAsia="zh-CN"/>
        </w:rPr>
        <w:t>,</w:t>
      </w:r>
      <w:r>
        <w:rPr>
          <w:rFonts w:hint="eastAsia" w:ascii="Times New Roman" w:hAnsi="Times New Roman" w:eastAsia="宋体"/>
          <w:sz w:val="20"/>
          <w:szCs w:val="20"/>
        </w:rPr>
        <w:t xml:space="preserve"> </w:t>
      </w:r>
      <w:r>
        <w:rPr>
          <w:rFonts w:ascii="Times New Roman" w:hAnsi="Times New Roman" w:eastAsia="宋体"/>
          <w:sz w:val="20"/>
          <w:szCs w:val="20"/>
        </w:rPr>
        <w:t>New WI: Enhancement of NR Dynamic spectrum sharing (DSS)</w:t>
      </w:r>
      <w:r>
        <w:rPr>
          <w:rFonts w:hint="eastAsia" w:ascii="Times New Roman" w:hAnsi="Times New Roman" w:eastAsia="宋体"/>
          <w:sz w:val="20"/>
          <w:szCs w:val="20"/>
        </w:rPr>
        <w:t xml:space="preserve"> </w:t>
      </w:r>
      <w:r>
        <w:rPr>
          <w:rFonts w:ascii="Times New Roman" w:hAnsi="Times New Roman" w:eastAsia="宋体"/>
          <w:sz w:val="20"/>
          <w:szCs w:val="20"/>
        </w:rPr>
        <w:t>Ericsson</w:t>
      </w:r>
      <w:r>
        <w:rPr>
          <w:rFonts w:hint="eastAsia" w:ascii="Times New Roman" w:hAnsi="Times New Roman" w:eastAsia="宋体"/>
          <w:sz w:val="20"/>
          <w:szCs w:val="20"/>
        </w:rPr>
        <w:t>,</w:t>
      </w:r>
      <w:r>
        <w:rPr>
          <w:rFonts w:ascii="Times New Roman" w:hAnsi="Times New Roman" w:eastAsia="宋体"/>
          <w:sz w:val="20"/>
          <w:szCs w:val="20"/>
        </w:rPr>
        <w:t xml:space="preserve"> </w:t>
      </w:r>
      <w:r>
        <w:rPr>
          <w:rFonts w:hint="eastAsia" w:ascii="Times New Roman" w:hAnsi="Times New Roman" w:eastAsia="宋体"/>
          <w:sz w:val="20"/>
          <w:szCs w:val="20"/>
        </w:rPr>
        <w:t>RAN#94e.</w:t>
      </w:r>
    </w:p>
    <w:p>
      <w:pPr>
        <w:numPr>
          <w:ilvl w:val="0"/>
          <w:numId w:val="6"/>
        </w:num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3GPP TS 38.213</w:t>
      </w:r>
      <w:r>
        <w:rPr>
          <w:rFonts w:hint="eastAsia" w:ascii="Times New Roman" w:hAnsi="Times New Roman" w:eastAsia="宋体"/>
          <w:sz w:val="20"/>
          <w:szCs w:val="20"/>
          <w:lang w:val="en-US" w:eastAsia="zh-CN"/>
        </w:rPr>
        <w:t>-</w:t>
      </w:r>
      <w:r>
        <w:rPr>
          <w:rFonts w:hint="eastAsia" w:ascii="Times New Roman" w:hAnsi="Times New Roman" w:eastAsia="宋体"/>
          <w:sz w:val="20"/>
          <w:szCs w:val="20"/>
        </w:rPr>
        <w:t>h</w:t>
      </w:r>
      <w:r>
        <w:rPr>
          <w:rFonts w:hint="eastAsia" w:ascii="Times New Roman" w:hAnsi="Times New Roman" w:eastAsia="宋体"/>
          <w:sz w:val="20"/>
          <w:szCs w:val="20"/>
          <w:lang w:val="en-US" w:eastAsia="zh-CN"/>
        </w:rPr>
        <w:t>1</w:t>
      </w:r>
      <w:r>
        <w:rPr>
          <w:rFonts w:hint="eastAsia" w:ascii="Times New Roman" w:hAnsi="Times New Roman" w:eastAsia="宋体"/>
          <w:sz w:val="20"/>
          <w:szCs w:val="20"/>
        </w:rPr>
        <w:t>0</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rPr>
        <w:t>NR</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rPr>
        <w:t>Physical layer procedures for control</w:t>
      </w:r>
      <w:r>
        <w:rPr>
          <w:rFonts w:hint="eastAsia" w:ascii="Times New Roman" w:hAnsi="Times New Roman" w:eastAsia="宋体"/>
          <w:sz w:val="20"/>
          <w:szCs w:val="20"/>
        </w:rPr>
        <w:t>.</w:t>
      </w:r>
    </w:p>
    <w:p>
      <w:pPr>
        <w:numPr>
          <w:ilvl w:val="0"/>
          <w:numId w:val="6"/>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R1-2202223</w:t>
      </w:r>
      <w:r>
        <w:rPr>
          <w:rFonts w:hint="eastAsia" w:ascii="Times New Roman" w:hAnsi="Times New Roman" w:eastAsia="宋体"/>
          <w:sz w:val="20"/>
          <w:szCs w:val="20"/>
          <w:lang w:val="en-US" w:eastAsia="zh-CN"/>
        </w:rPr>
        <w:t>,</w:t>
      </w:r>
      <w:r>
        <w:rPr>
          <w:rFonts w:hint="eastAsia" w:ascii="Times New Roman" w:hAnsi="Times New Roman" w:eastAsia="宋体"/>
          <w:sz w:val="20"/>
          <w:szCs w:val="20"/>
        </w:rPr>
        <w:t xml:space="preserve"> </w:t>
      </w:r>
      <w:r>
        <w:rPr>
          <w:rFonts w:ascii="Times New Roman" w:hAnsi="Times New Roman" w:eastAsia="宋体"/>
          <w:sz w:val="20"/>
          <w:szCs w:val="20"/>
        </w:rPr>
        <w:t>Evaluation of PDCCH enhancement for DSS</w:t>
      </w:r>
      <w:r>
        <w:rPr>
          <w:rFonts w:hint="eastAsia" w:ascii="Times New Roman" w:hAnsi="Times New Roman" w:eastAsia="宋体"/>
          <w:sz w:val="20"/>
          <w:szCs w:val="20"/>
        </w:rPr>
        <w:t>,</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rPr>
        <w:t>Ericsson</w:t>
      </w:r>
      <w:r>
        <w:rPr>
          <w:rFonts w:hint="eastAsia" w:ascii="Times New Roman" w:hAnsi="Times New Roman" w:eastAsia="宋体"/>
          <w:sz w:val="20"/>
          <w:szCs w:val="20"/>
        </w:rPr>
        <w:t>,</w:t>
      </w:r>
      <w:r>
        <w:rPr>
          <w:rFonts w:ascii="Times New Roman" w:hAnsi="Times New Roman" w:eastAsia="宋体"/>
          <w:sz w:val="20"/>
          <w:szCs w:val="20"/>
        </w:rPr>
        <w:t xml:space="preserve"> </w:t>
      </w:r>
      <w:r>
        <w:rPr>
          <w:rFonts w:hint="eastAsia" w:ascii="Times New Roman" w:hAnsi="Times New Roman" w:eastAsia="宋体"/>
          <w:sz w:val="20"/>
          <w:szCs w:val="20"/>
        </w:rPr>
        <w:t>RAN1#108e.</w:t>
      </w:r>
    </w:p>
    <w:p>
      <w:pPr>
        <w:numPr>
          <w:ilvl w:val="0"/>
          <w:numId w:val="6"/>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RP-212946</w:t>
      </w:r>
      <w:r>
        <w:rPr>
          <w:rFonts w:hint="eastAsia" w:ascii="Times New Roman" w:hAnsi="Times New Roman" w:eastAsia="宋体"/>
          <w:sz w:val="20"/>
          <w:szCs w:val="20"/>
          <w:lang w:val="en-US" w:eastAsia="zh-CN"/>
        </w:rPr>
        <w:t>,</w:t>
      </w:r>
      <w:r>
        <w:rPr>
          <w:rFonts w:hint="eastAsia" w:ascii="Times New Roman" w:hAnsi="Times New Roman" w:eastAsia="宋体"/>
          <w:sz w:val="20"/>
          <w:szCs w:val="20"/>
        </w:rPr>
        <w:t xml:space="preserve"> </w:t>
      </w:r>
      <w:r>
        <w:rPr>
          <w:rFonts w:ascii="Times New Roman" w:hAnsi="Times New Roman" w:eastAsia="宋体"/>
          <w:sz w:val="20"/>
          <w:szCs w:val="20"/>
        </w:rPr>
        <w:t>On DSS enhancements in Rel-18, Ericsson</w:t>
      </w:r>
      <w:r>
        <w:rPr>
          <w:rFonts w:hint="eastAsia" w:ascii="Times New Roman" w:hAnsi="Times New Roman" w:eastAsia="宋体"/>
          <w:sz w:val="20"/>
          <w:szCs w:val="20"/>
        </w:rPr>
        <w:t>,</w:t>
      </w:r>
      <w:r>
        <w:rPr>
          <w:rFonts w:ascii="Times New Roman" w:hAnsi="Times New Roman" w:eastAsia="宋体"/>
          <w:sz w:val="20"/>
          <w:szCs w:val="20"/>
        </w:rPr>
        <w:t xml:space="preserve"> </w:t>
      </w:r>
      <w:r>
        <w:rPr>
          <w:rFonts w:hint="eastAsia" w:ascii="Times New Roman" w:hAnsi="Times New Roman" w:eastAsia="宋体"/>
          <w:sz w:val="20"/>
          <w:szCs w:val="20"/>
        </w:rPr>
        <w:t>RAN#94e.</w:t>
      </w:r>
    </w:p>
    <w:p>
      <w:pPr>
        <w:autoSpaceDE w:val="0"/>
        <w:autoSpaceDN w:val="0"/>
        <w:adjustRightInd w:val="0"/>
        <w:snapToGrid w:val="0"/>
        <w:spacing w:after="120" w:line="240" w:lineRule="auto"/>
        <w:jc w:val="both"/>
        <w:rPr>
          <w:rFonts w:ascii="Times New Roman" w:hAnsi="Times New Roman" w:eastAsia="宋体"/>
          <w:sz w:val="20"/>
          <w:szCs w:val="20"/>
        </w:rPr>
      </w:pPr>
    </w:p>
    <w:p>
      <w:pPr>
        <w:pStyle w:val="2"/>
        <w:snapToGrid w:val="0"/>
        <w:spacing w:before="120" w:after="180" w:afterLines="50"/>
        <w:ind w:left="431" w:hanging="431"/>
        <w:jc w:val="both"/>
        <w:rPr>
          <w:sz w:val="28"/>
          <w:lang w:val="en-US"/>
        </w:rPr>
      </w:pPr>
      <w:r>
        <w:rPr>
          <w:rFonts w:hint="eastAsia"/>
          <w:sz w:val="28"/>
          <w:lang w:val="en-US"/>
        </w:rPr>
        <w:t>Appendix</w:t>
      </w:r>
    </w:p>
    <w:p>
      <w:pPr>
        <w:autoSpaceDE w:val="0"/>
        <w:autoSpaceDN w:val="0"/>
        <w:adjustRightInd w:val="0"/>
        <w:snapToGrid w:val="0"/>
        <w:spacing w:after="120" w:line="240" w:lineRule="auto"/>
        <w:jc w:val="center"/>
        <w:rPr>
          <w:rFonts w:ascii="Times New Roman" w:hAnsi="Times New Roman" w:eastAsia="宋体"/>
          <w:sz w:val="20"/>
          <w:szCs w:val="20"/>
        </w:rPr>
      </w:pPr>
      <w:r>
        <w:rPr>
          <w:rFonts w:ascii="Times New Roman" w:hAnsi="Times New Roman" w:eastAsia="宋体"/>
          <w:sz w:val="20"/>
          <w:szCs w:val="20"/>
        </w:rPr>
        <w:t>Table 1. Simulation parameters</w:t>
      </w:r>
    </w:p>
    <w:tbl>
      <w:tblPr>
        <w:tblStyle w:val="23"/>
        <w:tblW w:w="0" w:type="auto"/>
        <w:jc w:val="center"/>
        <w:tblLayout w:type="autofit"/>
        <w:tblCellMar>
          <w:top w:w="0" w:type="dxa"/>
          <w:left w:w="0" w:type="dxa"/>
          <w:bottom w:w="0" w:type="dxa"/>
          <w:right w:w="0" w:type="dxa"/>
        </w:tblCellMar>
      </w:tblPr>
      <w:tblGrid>
        <w:gridCol w:w="3400"/>
        <w:gridCol w:w="5466"/>
      </w:tblGrid>
      <w:tr>
        <w:tblPrEx>
          <w:tblCellMar>
            <w:top w:w="0" w:type="dxa"/>
            <w:left w:w="0" w:type="dxa"/>
            <w:bottom w:w="0" w:type="dxa"/>
            <w:right w:w="0" w:type="dxa"/>
          </w:tblCellMar>
        </w:tblPrEx>
        <w:trPr>
          <w:trHeight w:val="298" w:hRule="atLeast"/>
          <w:jc w:val="center"/>
        </w:trPr>
        <w:tc>
          <w:tcPr>
            <w:tcW w:w="340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b/>
                <w:bCs/>
                <w:sz w:val="20"/>
                <w:szCs w:val="20"/>
                <w:lang w:eastAsia="sv-SE"/>
              </w:rPr>
              <w:t>Parameters</w:t>
            </w:r>
          </w:p>
        </w:tc>
        <w:tc>
          <w:tcPr>
            <w:tcW w:w="5466" w:type="dxa"/>
            <w:tcBorders>
              <w:top w:val="single" w:color="000000" w:sz="8" w:space="0"/>
              <w:left w:val="nil"/>
              <w:bottom w:val="single" w:color="000000" w:sz="8" w:space="0"/>
              <w:right w:val="single" w:color="000000" w:sz="8" w:space="0"/>
            </w:tcBorders>
            <w:shd w:val="clear" w:color="auto" w:fill="D9D9D9"/>
            <w:tcMar>
              <w:top w:w="0" w:type="dxa"/>
              <w:left w:w="108" w:type="dxa"/>
              <w:bottom w:w="0" w:type="dxa"/>
              <w:right w:w="108" w:type="dxa"/>
            </w:tcMa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b/>
                <w:bCs/>
                <w:color w:val="000000"/>
                <w:sz w:val="20"/>
                <w:szCs w:val="20"/>
                <w:lang w:eastAsia="sv-SE"/>
              </w:rPr>
              <w:t>Values</w:t>
            </w:r>
          </w:p>
        </w:tc>
      </w:tr>
      <w:tr>
        <w:tblPrEx>
          <w:tblCellMar>
            <w:top w:w="0" w:type="dxa"/>
            <w:left w:w="0" w:type="dxa"/>
            <w:bottom w:w="0" w:type="dxa"/>
            <w:right w:w="0" w:type="dxa"/>
          </w:tblCellMar>
        </w:tblPrEx>
        <w:trPr>
          <w:trHeight w:val="309"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sv-SE"/>
              </w:rPr>
              <w:t>Carrier frequency</w:t>
            </w:r>
          </w:p>
        </w:tc>
        <w:tc>
          <w:tcPr>
            <w:tcW w:w="5466" w:type="dxa"/>
            <w:tcBorders>
              <w:top w:val="nil"/>
              <w:left w:val="nil"/>
              <w:bottom w:val="single" w:color="000000" w:sz="8" w:space="0"/>
              <w:right w:val="single" w:color="000000" w:sz="8" w:space="0"/>
            </w:tcBorders>
            <w:tcMar>
              <w:top w:w="0" w:type="dxa"/>
              <w:left w:w="108" w:type="dxa"/>
              <w:bottom w:w="0" w:type="dxa"/>
              <w:right w:w="108" w:type="dxa"/>
            </w:tcMa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2 GHz</w:t>
            </w:r>
          </w:p>
        </w:tc>
      </w:tr>
      <w:tr>
        <w:tblPrEx>
          <w:tblCellMar>
            <w:top w:w="0" w:type="dxa"/>
            <w:left w:w="0" w:type="dxa"/>
            <w:bottom w:w="0" w:type="dxa"/>
            <w:right w:w="0" w:type="dxa"/>
          </w:tblCellMar>
        </w:tblPrEx>
        <w:trPr>
          <w:trHeight w:val="298"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sv-SE"/>
              </w:rPr>
              <w:t>SCS</w:t>
            </w:r>
          </w:p>
        </w:tc>
        <w:tc>
          <w:tcPr>
            <w:tcW w:w="5466" w:type="dxa"/>
            <w:tcBorders>
              <w:top w:val="nil"/>
              <w:left w:val="nil"/>
              <w:bottom w:val="single" w:color="000000" w:sz="8" w:space="0"/>
              <w:right w:val="single" w:color="000000" w:sz="8" w:space="0"/>
            </w:tcBorders>
            <w:tcMar>
              <w:top w:w="0" w:type="dxa"/>
              <w:left w:w="108" w:type="dxa"/>
              <w:bottom w:w="0" w:type="dxa"/>
              <w:right w:w="108" w:type="dxa"/>
            </w:tcMa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 xml:space="preserve">15 kHz </w:t>
            </w:r>
          </w:p>
        </w:tc>
      </w:tr>
      <w:tr>
        <w:tblPrEx>
          <w:tblCellMar>
            <w:top w:w="0" w:type="dxa"/>
            <w:left w:w="0" w:type="dxa"/>
            <w:bottom w:w="0" w:type="dxa"/>
            <w:right w:w="0" w:type="dxa"/>
          </w:tblCellMar>
        </w:tblPrEx>
        <w:trPr>
          <w:trHeight w:val="298"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 xml:space="preserve">Bandwidth </w:t>
            </w:r>
          </w:p>
        </w:tc>
        <w:tc>
          <w:tcPr>
            <w:tcW w:w="5466" w:type="dxa"/>
            <w:tcBorders>
              <w:top w:val="nil"/>
              <w:left w:val="nil"/>
              <w:bottom w:val="single" w:color="000000" w:sz="8" w:space="0"/>
              <w:right w:val="single" w:color="000000" w:sz="8" w:space="0"/>
            </w:tcBorders>
            <w:tcMar>
              <w:top w:w="0" w:type="dxa"/>
              <w:left w:w="108" w:type="dxa"/>
              <w:bottom w:w="0" w:type="dxa"/>
              <w:right w:w="108" w:type="dxa"/>
            </w:tcMa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20 MHz</w:t>
            </w:r>
          </w:p>
        </w:tc>
      </w:tr>
      <w:tr>
        <w:tblPrEx>
          <w:tblCellMar>
            <w:top w:w="0" w:type="dxa"/>
            <w:left w:w="0" w:type="dxa"/>
            <w:bottom w:w="0" w:type="dxa"/>
            <w:right w:w="0" w:type="dxa"/>
          </w:tblCellMar>
        </w:tblPrEx>
        <w:trPr>
          <w:trHeight w:val="309"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Channel model</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TDL-A</w:t>
            </w:r>
          </w:p>
        </w:tc>
      </w:tr>
      <w:tr>
        <w:tblPrEx>
          <w:tblCellMar>
            <w:top w:w="0" w:type="dxa"/>
            <w:left w:w="0" w:type="dxa"/>
            <w:bottom w:w="0" w:type="dxa"/>
            <w:right w:w="0" w:type="dxa"/>
          </w:tblCellMar>
        </w:tblPrEx>
        <w:trPr>
          <w:trHeight w:val="298"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Delay spread</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100 ns</w:t>
            </w:r>
          </w:p>
        </w:tc>
      </w:tr>
      <w:tr>
        <w:tblPrEx>
          <w:tblCellMar>
            <w:top w:w="0" w:type="dxa"/>
            <w:left w:w="0" w:type="dxa"/>
            <w:bottom w:w="0" w:type="dxa"/>
            <w:right w:w="0" w:type="dxa"/>
          </w:tblCellMar>
        </w:tblPrEx>
        <w:trPr>
          <w:trHeight w:val="329"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UE speed</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3 km/h</w:t>
            </w:r>
          </w:p>
        </w:tc>
      </w:tr>
      <w:tr>
        <w:tblPrEx>
          <w:tblCellMar>
            <w:top w:w="0" w:type="dxa"/>
            <w:left w:w="0" w:type="dxa"/>
            <w:bottom w:w="0" w:type="dxa"/>
            <w:right w:w="0" w:type="dxa"/>
          </w:tblCellMar>
        </w:tblPrEx>
        <w:trPr>
          <w:trHeight w:val="278"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ko-KR"/>
              </w:rPr>
            </w:pPr>
            <w:r>
              <w:rPr>
                <w:rFonts w:ascii="Times New Roman" w:hAnsi="Times New Roman" w:eastAsia="宋体"/>
                <w:sz w:val="20"/>
                <w:szCs w:val="20"/>
                <w:lang w:eastAsia="ko-KR"/>
              </w:rPr>
              <w:t>Correlation</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ko-KR"/>
              </w:rPr>
            </w:pPr>
            <w:r>
              <w:rPr>
                <w:rFonts w:ascii="Times New Roman" w:hAnsi="Times New Roman" w:eastAsia="宋体"/>
                <w:sz w:val="20"/>
                <w:szCs w:val="20"/>
                <w:lang w:eastAsia="ko-KR"/>
              </w:rPr>
              <w:t>Medium</w:t>
            </w:r>
          </w:p>
        </w:tc>
      </w:tr>
      <w:tr>
        <w:tblPrEx>
          <w:tblCellMar>
            <w:top w:w="0" w:type="dxa"/>
            <w:left w:w="0" w:type="dxa"/>
            <w:bottom w:w="0" w:type="dxa"/>
            <w:right w:w="0" w:type="dxa"/>
          </w:tblCellMar>
        </w:tblPrEx>
        <w:trPr>
          <w:trHeight w:val="815"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Symbols reserved for PDCCH</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Symbol 0 and 1 reserved for LTE PDCCH, symbol 2 reserved for NR PDCCH (NR PDCCH also in symbol 1 for LTE CRS puncturing NR PDCCH)</w:t>
            </w:r>
          </w:p>
        </w:tc>
      </w:tr>
      <w:tr>
        <w:tblPrEx>
          <w:tblCellMar>
            <w:top w:w="0" w:type="dxa"/>
            <w:left w:w="0" w:type="dxa"/>
            <w:bottom w:w="0" w:type="dxa"/>
            <w:right w:w="0" w:type="dxa"/>
          </w:tblCellMar>
        </w:tblPrEx>
        <w:trPr>
          <w:trHeight w:val="298"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Number of BS antennas</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4 Tx (Two cross-polarized antenna pairs)</w:t>
            </w:r>
          </w:p>
        </w:tc>
      </w:tr>
      <w:tr>
        <w:tblPrEx>
          <w:tblCellMar>
            <w:top w:w="0" w:type="dxa"/>
            <w:left w:w="0" w:type="dxa"/>
            <w:bottom w:w="0" w:type="dxa"/>
            <w:right w:w="0" w:type="dxa"/>
          </w:tblCellMar>
        </w:tblPrEx>
        <w:trPr>
          <w:trHeight w:val="309"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color w:val="000000"/>
                <w:sz w:val="20"/>
                <w:szCs w:val="20"/>
                <w:lang w:eastAsia="ko-KR"/>
              </w:rPr>
              <w:t>Number of UE antennas</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2 Rx (One cross-polarized antenna pair)</w:t>
            </w:r>
          </w:p>
        </w:tc>
      </w:tr>
      <w:tr>
        <w:tblPrEx>
          <w:tblCellMar>
            <w:top w:w="0" w:type="dxa"/>
            <w:left w:w="0" w:type="dxa"/>
            <w:bottom w:w="0" w:type="dxa"/>
            <w:right w:w="0" w:type="dxa"/>
          </w:tblCellMar>
        </w:tblPrEx>
        <w:trPr>
          <w:trHeight w:val="804"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Channel estimation</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Practical, DMRS-based channel estimation with separate time and frequency domain filtering. No special handling for punctured REs</w:t>
            </w:r>
          </w:p>
        </w:tc>
      </w:tr>
      <w:tr>
        <w:tblPrEx>
          <w:tblCellMar>
            <w:top w:w="0" w:type="dxa"/>
            <w:left w:w="0" w:type="dxa"/>
            <w:bottom w:w="0" w:type="dxa"/>
            <w:right w:w="0" w:type="dxa"/>
          </w:tblCellMar>
        </w:tblPrEx>
        <w:trPr>
          <w:trHeight w:val="309" w:hRule="atLeast"/>
          <w:jc w:val="center"/>
        </w:trPr>
        <w:tc>
          <w:tcPr>
            <w:tcW w:w="3400" w:type="dxa"/>
            <w:tcBorders>
              <w:top w:val="nil"/>
              <w:left w:val="single" w:color="000000" w:sz="8" w:space="0"/>
              <w:bottom w:val="single" w:color="auto"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ko-KR"/>
              </w:rPr>
            </w:pPr>
            <w:r>
              <w:rPr>
                <w:rFonts w:ascii="Times New Roman" w:hAnsi="Times New Roman" w:eastAsia="宋体"/>
                <w:sz w:val="20"/>
                <w:szCs w:val="20"/>
                <w:lang w:eastAsia="ko-KR"/>
              </w:rPr>
              <w:t>Receiver type</w:t>
            </w:r>
          </w:p>
        </w:tc>
        <w:tc>
          <w:tcPr>
            <w:tcW w:w="5466" w:type="dxa"/>
            <w:tcBorders>
              <w:top w:val="nil"/>
              <w:left w:val="nil"/>
              <w:bottom w:val="single" w:color="auto"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ko-KR"/>
              </w:rPr>
            </w:pPr>
            <w:r>
              <w:rPr>
                <w:rFonts w:ascii="Times New Roman" w:hAnsi="Times New Roman" w:eastAsia="宋体"/>
                <w:sz w:val="20"/>
                <w:szCs w:val="20"/>
                <w:lang w:eastAsia="ko-KR"/>
              </w:rPr>
              <w:t>MMSE</w:t>
            </w:r>
          </w:p>
        </w:tc>
      </w:tr>
      <w:tr>
        <w:tblPrEx>
          <w:tblCellMar>
            <w:top w:w="0" w:type="dxa"/>
            <w:left w:w="0" w:type="dxa"/>
            <w:bottom w:w="0" w:type="dxa"/>
            <w:right w:w="0" w:type="dxa"/>
          </w:tblCellMar>
        </w:tblPrEx>
        <w:trPr>
          <w:trHeight w:val="309" w:hRule="atLeast"/>
          <w:jc w:val="center"/>
        </w:trPr>
        <w:tc>
          <w:tcPr>
            <w:tcW w:w="34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 xml:space="preserve">CRS </w:t>
            </w:r>
          </w:p>
        </w:tc>
        <w:tc>
          <w:tcPr>
            <w:tcW w:w="54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4 port CRS</w:t>
            </w:r>
          </w:p>
        </w:tc>
      </w:tr>
      <w:tr>
        <w:tblPrEx>
          <w:tblCellMar>
            <w:top w:w="0" w:type="dxa"/>
            <w:left w:w="0" w:type="dxa"/>
            <w:bottom w:w="0" w:type="dxa"/>
            <w:right w:w="0" w:type="dxa"/>
          </w:tblCellMar>
        </w:tblPrEx>
        <w:trPr>
          <w:trHeight w:val="309" w:hRule="atLeast"/>
          <w:jc w:val="center"/>
        </w:trPr>
        <w:tc>
          <w:tcPr>
            <w:tcW w:w="34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DCI payload (excluding CRC)</w:t>
            </w:r>
          </w:p>
        </w:tc>
        <w:tc>
          <w:tcPr>
            <w:tcW w:w="54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rPr>
              <w:t>40,</w:t>
            </w:r>
            <w:r>
              <w:rPr>
                <w:rFonts w:ascii="Times New Roman" w:hAnsi="Times New Roman" w:eastAsia="宋体"/>
                <w:sz w:val="20"/>
                <w:szCs w:val="20"/>
                <w:lang w:eastAsia="en-US"/>
              </w:rPr>
              <w:t>55</w:t>
            </w:r>
            <w:r>
              <w:rPr>
                <w:rFonts w:ascii="Times New Roman" w:hAnsi="Times New Roman" w:eastAsia="宋体"/>
                <w:sz w:val="20"/>
                <w:szCs w:val="20"/>
              </w:rPr>
              <w:t>,80,100</w:t>
            </w:r>
            <w:r>
              <w:rPr>
                <w:rFonts w:ascii="Times New Roman" w:hAnsi="Times New Roman" w:eastAsia="宋体"/>
                <w:sz w:val="20"/>
                <w:szCs w:val="20"/>
                <w:lang w:eastAsia="en-US"/>
              </w:rPr>
              <w:t xml:space="preserve"> bits</w:t>
            </w:r>
          </w:p>
        </w:tc>
      </w:tr>
      <w:tr>
        <w:tblPrEx>
          <w:tblCellMar>
            <w:top w:w="0" w:type="dxa"/>
            <w:left w:w="0" w:type="dxa"/>
            <w:bottom w:w="0" w:type="dxa"/>
            <w:right w:w="0" w:type="dxa"/>
          </w:tblCellMar>
        </w:tblPrEx>
        <w:trPr>
          <w:trHeight w:val="309" w:hRule="atLeast"/>
          <w:jc w:val="center"/>
        </w:trPr>
        <w:tc>
          <w:tcPr>
            <w:tcW w:w="3400" w:type="dxa"/>
            <w:tcBorders>
              <w:top w:val="single" w:color="auto"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ko-KR"/>
              </w:rPr>
              <w:t>Interleaving</w:t>
            </w:r>
          </w:p>
        </w:tc>
        <w:tc>
          <w:tcPr>
            <w:tcW w:w="5466" w:type="dxa"/>
            <w:tcBorders>
              <w:top w:val="single" w:color="auto" w:sz="8" w:space="0"/>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ind w:left="1440" w:hanging="1440"/>
              <w:jc w:val="both"/>
              <w:rPr>
                <w:rFonts w:ascii="Times New Roman" w:hAnsi="Times New Roman" w:eastAsia="宋体"/>
                <w:sz w:val="20"/>
                <w:szCs w:val="20"/>
                <w:lang w:eastAsia="en-US"/>
              </w:rPr>
            </w:pPr>
            <w:r>
              <w:rPr>
                <w:rFonts w:ascii="Times New Roman" w:hAnsi="Times New Roman" w:eastAsia="宋体"/>
                <w:sz w:val="20"/>
                <w:szCs w:val="20"/>
                <w:lang w:eastAsia="ko-KR"/>
              </w:rPr>
              <w:t>Interleaved</w:t>
            </w:r>
          </w:p>
        </w:tc>
      </w:tr>
      <w:tr>
        <w:tblPrEx>
          <w:tblCellMar>
            <w:top w:w="0" w:type="dxa"/>
            <w:left w:w="0" w:type="dxa"/>
            <w:bottom w:w="0" w:type="dxa"/>
            <w:right w:w="0" w:type="dxa"/>
          </w:tblCellMar>
        </w:tblPrEx>
        <w:trPr>
          <w:trHeight w:val="298"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ko-KR"/>
              </w:rPr>
            </w:pPr>
            <w:r>
              <w:rPr>
                <w:rFonts w:ascii="Times New Roman" w:hAnsi="Times New Roman" w:eastAsia="宋体"/>
                <w:sz w:val="20"/>
                <w:szCs w:val="20"/>
                <w:lang w:eastAsia="ko-KR"/>
              </w:rPr>
              <w:t>Precoding</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ko-KR"/>
              </w:rPr>
            </w:pPr>
            <w:r>
              <w:rPr>
                <w:rFonts w:ascii="Times New Roman" w:hAnsi="Times New Roman" w:eastAsia="宋体"/>
                <w:sz w:val="20"/>
                <w:szCs w:val="20"/>
                <w:lang w:eastAsia="ko-KR"/>
              </w:rPr>
              <w:t>Precoder cycling per REG bundle</w:t>
            </w:r>
          </w:p>
        </w:tc>
      </w:tr>
      <w:tr>
        <w:tblPrEx>
          <w:tblCellMar>
            <w:top w:w="0" w:type="dxa"/>
            <w:left w:w="0" w:type="dxa"/>
            <w:bottom w:w="0" w:type="dxa"/>
            <w:right w:w="0" w:type="dxa"/>
          </w:tblCellMar>
        </w:tblPrEx>
        <w:trPr>
          <w:trHeight w:val="319" w:hRule="atLeast"/>
          <w:jc w:val="center"/>
        </w:trPr>
        <w:tc>
          <w:tcPr>
            <w:tcW w:w="340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ascii="Times New Roman" w:hAnsi="Times New Roman" w:eastAsia="宋体"/>
                <w:sz w:val="20"/>
                <w:szCs w:val="20"/>
                <w:lang w:eastAsia="ko-KR"/>
              </w:rPr>
            </w:pPr>
            <w:r>
              <w:rPr>
                <w:rFonts w:ascii="Times New Roman" w:hAnsi="Times New Roman" w:eastAsia="宋体"/>
                <w:sz w:val="20"/>
                <w:szCs w:val="20"/>
                <w:lang w:eastAsia="ko-KR"/>
              </w:rPr>
              <w:t>REG bundle size</w:t>
            </w:r>
          </w:p>
        </w:tc>
        <w:tc>
          <w:tcPr>
            <w:tcW w:w="5466" w:type="dxa"/>
            <w:tcBorders>
              <w:top w:val="nil"/>
              <w:left w:val="nil"/>
              <w:bottom w:val="single" w:color="000000" w:sz="8" w:space="0"/>
              <w:right w:val="single" w:color="000000" w:sz="8" w:space="0"/>
            </w:tcBorders>
            <w:tcMar>
              <w:top w:w="0" w:type="dxa"/>
              <w:left w:w="108" w:type="dxa"/>
              <w:bottom w:w="0" w:type="dxa"/>
              <w:right w:w="108" w:type="dxa"/>
            </w:tcMar>
            <w:vAlign w:val="center"/>
          </w:tcPr>
          <w:p>
            <w:pPr>
              <w:overflowPunct w:val="0"/>
              <w:autoSpaceDE w:val="0"/>
              <w:autoSpaceDN w:val="0"/>
              <w:adjustRightInd w:val="0"/>
              <w:snapToGrid w:val="0"/>
              <w:spacing w:after="60" w:line="240" w:lineRule="auto"/>
              <w:jc w:val="both"/>
              <w:rPr>
                <w:rFonts w:hint="eastAsia" w:ascii="Times New Roman" w:hAnsi="Times New Roman" w:eastAsia="宋体"/>
                <w:sz w:val="20"/>
                <w:szCs w:val="20"/>
                <w:lang w:val="en-US" w:eastAsia="zh-CN"/>
              </w:rPr>
            </w:pPr>
            <w:r>
              <w:rPr>
                <w:rFonts w:ascii="Times New Roman" w:hAnsi="Times New Roman" w:eastAsia="宋体"/>
                <w:sz w:val="20"/>
                <w:szCs w:val="20"/>
                <w:lang w:eastAsia="ko-KR"/>
              </w:rPr>
              <w:t>6 PRB</w:t>
            </w:r>
            <w:r>
              <w:rPr>
                <w:rFonts w:hint="eastAsia" w:ascii="Times New Roman" w:hAnsi="Times New Roman" w:eastAsia="宋体"/>
                <w:sz w:val="20"/>
                <w:szCs w:val="20"/>
                <w:lang w:val="en-US" w:eastAsia="zh-CN"/>
              </w:rPr>
              <w:t>s</w:t>
            </w:r>
          </w:p>
        </w:tc>
      </w:tr>
    </w:tbl>
    <w:p>
      <w:pPr>
        <w:autoSpaceDE w:val="0"/>
        <w:autoSpaceDN w:val="0"/>
        <w:adjustRightInd w:val="0"/>
        <w:snapToGrid w:val="0"/>
        <w:spacing w:after="120" w:line="240" w:lineRule="auto"/>
        <w:jc w:val="both"/>
        <w:rPr>
          <w:rFonts w:ascii="Times New Roman" w:hAnsi="Times New Roman" w:eastAsia="宋体"/>
          <w:lang w:eastAsia="ko-KR"/>
        </w:rPr>
      </w:pPr>
    </w:p>
    <w:p>
      <w:pPr>
        <w:autoSpaceDE w:val="0"/>
        <w:autoSpaceDN w:val="0"/>
        <w:adjustRightInd w:val="0"/>
        <w:snapToGrid w:val="0"/>
        <w:spacing w:after="120" w:line="240" w:lineRule="auto"/>
        <w:jc w:val="both"/>
        <w:rPr>
          <w:rFonts w:ascii="Times New Roman" w:hAnsi="Times New Roman" w:eastAsia="宋体"/>
          <w:lang w:eastAsia="ko-KR"/>
        </w:rPr>
      </w:pPr>
    </w:p>
    <w:p>
      <w:pPr>
        <w:autoSpaceDE w:val="0"/>
        <w:autoSpaceDN w:val="0"/>
        <w:adjustRightInd w:val="0"/>
        <w:snapToGrid w:val="0"/>
        <w:spacing w:after="120" w:line="240" w:lineRule="auto"/>
        <w:jc w:val="both"/>
        <w:rPr>
          <w:rFonts w:ascii="Times New Roman" w:hAnsi="Times New Roman" w:eastAsia="宋体"/>
        </w:rPr>
      </w:pPr>
    </w:p>
    <w:p>
      <w:pPr>
        <w:snapToGrid w:val="0"/>
        <w:spacing w:after="0" w:line="240" w:lineRule="auto"/>
        <w:jc w:val="both"/>
        <w:rPr>
          <w:rFonts w:ascii="Times New Roman" w:hAnsi="Times New Roman" w:eastAsia="宋体"/>
          <w:sz w:val="20"/>
          <w:szCs w:val="20"/>
          <w:lang w:val="en-GB" w:eastAsia="en-GB"/>
        </w:rPr>
      </w:pPr>
    </w:p>
    <w:sectPr>
      <w:footerReference r:id="rId3" w:type="default"/>
      <w:type w:val="continuous"/>
      <w:pgSz w:w="12240" w:h="15840"/>
      <w:pgMar w:top="1440" w:right="1440" w:bottom="1440" w:left="1440" w:header="720" w:footer="720"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36C71DE"/>
    <w:multiLevelType w:val="multilevel"/>
    <w:tmpl w:val="036C71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60F284E"/>
    <w:multiLevelType w:val="multilevel"/>
    <w:tmpl w:val="060F284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7AE21539"/>
    <w:multiLevelType w:val="multilevel"/>
    <w:tmpl w:val="7AE215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3E"/>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054"/>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AA"/>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277"/>
    <w:rsid w:val="005D74E6"/>
    <w:rsid w:val="005D762A"/>
    <w:rsid w:val="005D76B7"/>
    <w:rsid w:val="005D7700"/>
    <w:rsid w:val="005D7C00"/>
    <w:rsid w:val="005E0078"/>
    <w:rsid w:val="005E070B"/>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3F60"/>
    <w:rsid w:val="007A4317"/>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C6B"/>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C7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B09"/>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3EB3"/>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5D"/>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2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8B6"/>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6D2E7A"/>
    <w:rsid w:val="01701670"/>
    <w:rsid w:val="0171562A"/>
    <w:rsid w:val="01742CDF"/>
    <w:rsid w:val="017729EB"/>
    <w:rsid w:val="01795231"/>
    <w:rsid w:val="017B5EC6"/>
    <w:rsid w:val="017E6C5E"/>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B4D5C"/>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817A9"/>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152F9"/>
    <w:rsid w:val="09F27747"/>
    <w:rsid w:val="09F54E7B"/>
    <w:rsid w:val="0A03095D"/>
    <w:rsid w:val="0A031353"/>
    <w:rsid w:val="0A090E68"/>
    <w:rsid w:val="0A0C334D"/>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AD7ABA"/>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6AC"/>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446A"/>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A20C8"/>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57D95"/>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57058C"/>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B412F"/>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F7C34"/>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22CA7"/>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3E2FB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50DE5"/>
    <w:rsid w:val="27AA4362"/>
    <w:rsid w:val="27AF12EF"/>
    <w:rsid w:val="27B47525"/>
    <w:rsid w:val="27BE09DA"/>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AE300F"/>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3E281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72175"/>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06249"/>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67655"/>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62C13"/>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933B6"/>
    <w:rsid w:val="354F0611"/>
    <w:rsid w:val="3552267E"/>
    <w:rsid w:val="35552F7A"/>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80F33"/>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BC247F"/>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E62B25"/>
    <w:rsid w:val="3BF57EF3"/>
    <w:rsid w:val="3BFA7D60"/>
    <w:rsid w:val="3BFE4838"/>
    <w:rsid w:val="3BFF2469"/>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3F2E50"/>
    <w:rsid w:val="3F484DDE"/>
    <w:rsid w:val="3F495688"/>
    <w:rsid w:val="3F505F3F"/>
    <w:rsid w:val="3F575CF6"/>
    <w:rsid w:val="3F5954A7"/>
    <w:rsid w:val="3F5B1636"/>
    <w:rsid w:val="3F6249EF"/>
    <w:rsid w:val="3F6A75F8"/>
    <w:rsid w:val="3F6B633E"/>
    <w:rsid w:val="3F6E46A4"/>
    <w:rsid w:val="3F763F8A"/>
    <w:rsid w:val="3F795109"/>
    <w:rsid w:val="3F863A07"/>
    <w:rsid w:val="3F8714A0"/>
    <w:rsid w:val="3F88589C"/>
    <w:rsid w:val="3F8B0FF0"/>
    <w:rsid w:val="3F97799B"/>
    <w:rsid w:val="3F982F2C"/>
    <w:rsid w:val="3F993301"/>
    <w:rsid w:val="3F9B40F5"/>
    <w:rsid w:val="3FA40C5B"/>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04463"/>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0FD6C01"/>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233D6"/>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DD68E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612A2"/>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5B7859"/>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01605"/>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601C5"/>
    <w:rsid w:val="4F2C0BAB"/>
    <w:rsid w:val="4F312150"/>
    <w:rsid w:val="4F363754"/>
    <w:rsid w:val="4F394923"/>
    <w:rsid w:val="4F3B4DA2"/>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9377B"/>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D374A"/>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8E427F"/>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2F6527"/>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22236"/>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45F69"/>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658"/>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C6D3D"/>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55EE0"/>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6213A"/>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C23B3"/>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B130E"/>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3B0E"/>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11B8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97ADF"/>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A2F76"/>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263EC"/>
    <w:rsid w:val="69D46602"/>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75258"/>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CE2529"/>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EC012C"/>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8C46FD"/>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A52BD"/>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B699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A1426"/>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0C18"/>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9222C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3391C"/>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CB550C"/>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82D6B"/>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02D6D"/>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E4B3C"/>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369E"/>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3439B"/>
    <w:rsid w:val="7F7D592C"/>
    <w:rsid w:val="7F8649A9"/>
    <w:rsid w:val="7F8A16A6"/>
    <w:rsid w:val="7F8D39D9"/>
    <w:rsid w:val="7F915207"/>
    <w:rsid w:val="7F98284E"/>
    <w:rsid w:val="7F9F3CC1"/>
    <w:rsid w:val="7FA54FB8"/>
    <w:rsid w:val="7FAD3C21"/>
    <w:rsid w:val="7FB24452"/>
    <w:rsid w:val="7FBA238A"/>
    <w:rsid w:val="7FBA548C"/>
    <w:rsid w:val="7FBD5C2C"/>
    <w:rsid w:val="7FBE4755"/>
    <w:rsid w:val="7FBE785A"/>
    <w:rsid w:val="7FC331C5"/>
    <w:rsid w:val="7FC423BA"/>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Arial" w:hAnsi="Arial"/>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Arial" w:hAnsi="Arial" w:eastAsiaTheme="minorEastAs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A50A35-45D0-4FD1-8C5A-2B3343EEAF2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1369</Words>
  <Characters>7809</Characters>
  <Lines>65</Lines>
  <Paragraphs>18</Paragraphs>
  <TotalTime>0</TotalTime>
  <ScaleCrop>false</ScaleCrop>
  <LinksUpToDate>false</LinksUpToDate>
  <CharactersWithSpaces>9160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Xianghui</cp:lastModifiedBy>
  <dcterms:modified xsi:type="dcterms:W3CDTF">2022-04-24T02:55:49Z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